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1675" w14:textId="07B08E80" w:rsidR="00B96DA7" w:rsidRPr="00B96DA7" w:rsidRDefault="00B96DA7" w:rsidP="00B96DA7">
      <w:pPr>
        <w:jc w:val="center"/>
        <w:rPr>
          <w:b/>
          <w:bCs/>
        </w:rPr>
      </w:pPr>
      <w:r w:rsidRPr="00B96DA7">
        <w:rPr>
          <w:b/>
          <w:bCs/>
        </w:rPr>
        <w:t>AC-80 GUIDELINES</w:t>
      </w:r>
    </w:p>
    <w:p w14:paraId="1B5775F5" w14:textId="68084D85" w:rsidR="00B96DA7" w:rsidRPr="00B96DA7" w:rsidRDefault="00B96DA7" w:rsidP="00B96DA7">
      <w:pPr>
        <w:jc w:val="center"/>
        <w:rPr>
          <w:b/>
          <w:bCs/>
        </w:rPr>
      </w:pPr>
      <w:r w:rsidRPr="00B96DA7">
        <w:rPr>
          <w:b/>
          <w:bCs/>
        </w:rPr>
        <w:t>(Engag</w:t>
      </w:r>
      <w:r w:rsidR="00385AA4">
        <w:rPr>
          <w:b/>
          <w:bCs/>
        </w:rPr>
        <w:t>ements</w:t>
      </w:r>
      <w:r>
        <w:rPr>
          <w:b/>
          <w:bCs/>
        </w:rPr>
        <w:t xml:space="preserve"> </w:t>
      </w:r>
      <w:r w:rsidRPr="00B96DA7">
        <w:rPr>
          <w:b/>
          <w:bCs/>
        </w:rPr>
        <w:t>in</w:t>
      </w:r>
      <w:r>
        <w:rPr>
          <w:b/>
          <w:bCs/>
        </w:rPr>
        <w:t xml:space="preserve"> </w:t>
      </w:r>
      <w:r w:rsidRPr="00B96DA7">
        <w:rPr>
          <w:b/>
          <w:bCs/>
        </w:rPr>
        <w:t>Outside</w:t>
      </w:r>
      <w:r>
        <w:rPr>
          <w:b/>
          <w:bCs/>
        </w:rPr>
        <w:t xml:space="preserve"> </w:t>
      </w:r>
      <w:r w:rsidRPr="00B96DA7">
        <w:rPr>
          <w:b/>
          <w:bCs/>
        </w:rPr>
        <w:t>Professional</w:t>
      </w:r>
      <w:r>
        <w:rPr>
          <w:b/>
          <w:bCs/>
        </w:rPr>
        <w:t xml:space="preserve"> </w:t>
      </w:r>
      <w:r w:rsidRPr="00B96DA7">
        <w:rPr>
          <w:b/>
          <w:bCs/>
        </w:rPr>
        <w:t>Activities)</w:t>
      </w:r>
    </w:p>
    <w:p w14:paraId="24756058" w14:textId="21F9E58C" w:rsidR="00B96DA7" w:rsidRDefault="00B96DA7" w:rsidP="00B96DA7">
      <w:pPr>
        <w:jc w:val="center"/>
      </w:pPr>
      <w:r w:rsidRPr="00B96DA7">
        <w:rPr>
          <w:b/>
          <w:bCs/>
        </w:rPr>
        <w:t>Donald</w:t>
      </w:r>
      <w:r w:rsidRPr="00B96DA7">
        <w:rPr>
          <w:b/>
          <w:bCs/>
        </w:rPr>
        <w:tab/>
        <w:t>P. Bellisario College of Communications</w:t>
      </w:r>
    </w:p>
    <w:p w14:paraId="54D2CDE9" w14:textId="5F4D2A1A" w:rsidR="00B96DA7" w:rsidRDefault="00B96DA7" w:rsidP="00642CAD">
      <w:r>
        <w:t xml:space="preserve">These guidelines address conflict of commitments among the professional activities </w:t>
      </w:r>
      <w:r w:rsidR="00E454FB">
        <w:t>of</w:t>
      </w:r>
      <w:r>
        <w:t xml:space="preserve"> faculty.</w:t>
      </w:r>
    </w:p>
    <w:p w14:paraId="4302B1F9" w14:textId="7215DA5A" w:rsidR="00B96DA7" w:rsidRDefault="00B96DA7" w:rsidP="00B96DA7">
      <w:r>
        <w:t>The</w:t>
      </w:r>
      <w:r w:rsidR="00EF38AD">
        <w:t xml:space="preserve"> </w:t>
      </w:r>
      <w:r>
        <w:t>A</w:t>
      </w:r>
      <w:r w:rsidR="00E92EA9">
        <w:t>C</w:t>
      </w:r>
      <w:r>
        <w:t>-</w:t>
      </w:r>
      <w:r w:rsidR="00EF38AD">
        <w:t xml:space="preserve">80 </w:t>
      </w:r>
      <w:r>
        <w:t>policy</w:t>
      </w:r>
      <w:r w:rsidR="00EF38AD">
        <w:t xml:space="preserve"> requires </w:t>
      </w:r>
      <w:r>
        <w:t>colleges</w:t>
      </w:r>
      <w:r w:rsidR="00EF38AD">
        <w:t xml:space="preserve"> </w:t>
      </w:r>
      <w:r>
        <w:t>to</w:t>
      </w:r>
      <w:r w:rsidR="00EF38AD">
        <w:t xml:space="preserve"> </w:t>
      </w:r>
      <w:r>
        <w:t>note</w:t>
      </w:r>
      <w:r w:rsidR="00EF38AD">
        <w:t xml:space="preserve"> </w:t>
      </w:r>
      <w:r>
        <w:t>activities</w:t>
      </w:r>
      <w:r w:rsidR="00EF38AD">
        <w:t xml:space="preserve"> </w:t>
      </w:r>
      <w:r>
        <w:t>that</w:t>
      </w:r>
      <w:r w:rsidR="00EF38AD">
        <w:t xml:space="preserve"> </w:t>
      </w:r>
      <w:r>
        <w:t>need</w:t>
      </w:r>
      <w:r w:rsidR="00EF38AD">
        <w:t xml:space="preserve"> </w:t>
      </w:r>
      <w:r>
        <w:t>no</w:t>
      </w:r>
      <w:r w:rsidR="00EF38AD">
        <w:t xml:space="preserve"> </w:t>
      </w:r>
      <w:r>
        <w:t>prior</w:t>
      </w:r>
      <w:r w:rsidR="00EF38AD">
        <w:t xml:space="preserve"> </w:t>
      </w:r>
      <w:r>
        <w:t>permission</w:t>
      </w:r>
      <w:r w:rsidR="00EF38AD">
        <w:t xml:space="preserve"> </w:t>
      </w:r>
      <w:r>
        <w:t>and</w:t>
      </w:r>
      <w:r w:rsidR="00EF38AD">
        <w:t xml:space="preserve"> </w:t>
      </w:r>
      <w:r>
        <w:t>those</w:t>
      </w:r>
      <w:r w:rsidR="00EF38AD">
        <w:t xml:space="preserve"> </w:t>
      </w:r>
      <w:r>
        <w:t>that</w:t>
      </w:r>
      <w:r w:rsidR="00EF38AD">
        <w:t xml:space="preserve"> </w:t>
      </w:r>
      <w:r>
        <w:t>do.</w:t>
      </w:r>
    </w:p>
    <w:p w14:paraId="412E0D48" w14:textId="2E5503D5" w:rsidR="00B96DA7" w:rsidRDefault="00B96DA7" w:rsidP="00B96DA7">
      <w:r>
        <w:t>While</w:t>
      </w:r>
      <w:r w:rsidR="00EF38AD">
        <w:t xml:space="preserve"> </w:t>
      </w:r>
      <w:r>
        <w:t>A</w:t>
      </w:r>
      <w:r w:rsidR="00E92EA9">
        <w:t>C</w:t>
      </w:r>
      <w:r>
        <w:t>-</w:t>
      </w:r>
      <w:r w:rsidR="00EF38AD">
        <w:t xml:space="preserve">80 </w:t>
      </w:r>
      <w:r>
        <w:t>addresses</w:t>
      </w:r>
      <w:r>
        <w:tab/>
        <w:t>conflict</w:t>
      </w:r>
      <w:r>
        <w:tab/>
        <w:t>of</w:t>
      </w:r>
      <w:r w:rsidR="00EF38AD">
        <w:t xml:space="preserve"> </w:t>
      </w:r>
      <w:r>
        <w:t>commitment</w:t>
      </w:r>
      <w:r>
        <w:tab/>
      </w:r>
      <w:r w:rsidR="00EF38AD">
        <w:t>among</w:t>
      </w:r>
      <w:r>
        <w:tab/>
        <w:t>the</w:t>
      </w:r>
      <w:r w:rsidR="00EF38AD">
        <w:t xml:space="preserve"> </w:t>
      </w:r>
      <w:r>
        <w:t>professional</w:t>
      </w:r>
      <w:r w:rsidR="00EF38AD">
        <w:t xml:space="preserve"> </w:t>
      </w:r>
      <w:r>
        <w:t>activities</w:t>
      </w:r>
      <w:r w:rsidR="00EF38AD">
        <w:t xml:space="preserve"> </w:t>
      </w:r>
      <w:r>
        <w:t>of</w:t>
      </w:r>
      <w:r w:rsidR="00EF38AD">
        <w:t xml:space="preserve"> </w:t>
      </w:r>
      <w:r>
        <w:t>Penn</w:t>
      </w:r>
      <w:r w:rsidR="00EF38AD">
        <w:t xml:space="preserve"> </w:t>
      </w:r>
      <w:r>
        <w:t>State</w:t>
      </w:r>
      <w:r>
        <w:tab/>
        <w:t>faculty,</w:t>
      </w:r>
      <w:r w:rsidR="00EF38AD">
        <w:t xml:space="preserve"> </w:t>
      </w:r>
      <w:r>
        <w:t>these</w:t>
      </w:r>
      <w:r w:rsidR="00EF38AD">
        <w:t xml:space="preserve"> </w:t>
      </w:r>
      <w:r>
        <w:t>Guidelines</w:t>
      </w:r>
      <w:r w:rsidR="00EF38AD">
        <w:t xml:space="preserve"> </w:t>
      </w:r>
      <w:r>
        <w:t>are</w:t>
      </w:r>
      <w:r w:rsidR="00EF38AD">
        <w:t xml:space="preserve"> </w:t>
      </w:r>
      <w:r>
        <w:t>intended</w:t>
      </w:r>
      <w:r w:rsidR="00EF38AD">
        <w:t xml:space="preserve"> </w:t>
      </w:r>
      <w:r>
        <w:t>to</w:t>
      </w:r>
      <w:r w:rsidR="00EF38AD">
        <w:t xml:space="preserve"> govern the </w:t>
      </w:r>
      <w:r>
        <w:t>policy’s</w:t>
      </w:r>
      <w:r w:rsidR="00EF38AD">
        <w:t xml:space="preserve"> </w:t>
      </w:r>
      <w:r>
        <w:t>implementation</w:t>
      </w:r>
      <w:r w:rsidR="00EF38AD">
        <w:t xml:space="preserve"> </w:t>
      </w:r>
      <w:r>
        <w:t>among</w:t>
      </w:r>
      <w:r w:rsidR="00EF38AD">
        <w:t xml:space="preserve"> </w:t>
      </w:r>
      <w:r>
        <w:t>Bellisario</w:t>
      </w:r>
      <w:r w:rsidR="00EF38AD">
        <w:t xml:space="preserve"> </w:t>
      </w:r>
      <w:r>
        <w:t>College</w:t>
      </w:r>
      <w:r w:rsidR="00EF38AD">
        <w:t xml:space="preserve"> </w:t>
      </w:r>
      <w:r>
        <w:t>of</w:t>
      </w:r>
      <w:r w:rsidR="00EF38AD">
        <w:t xml:space="preserve"> </w:t>
      </w:r>
      <w:r>
        <w:t>Communication</w:t>
      </w:r>
      <w:r w:rsidR="00EF38AD">
        <w:t xml:space="preserve">s </w:t>
      </w:r>
      <w:r>
        <w:t>faculty.</w:t>
      </w:r>
      <w:r w:rsidR="00EF38AD">
        <w:t xml:space="preserve"> </w:t>
      </w:r>
      <w:r>
        <w:t>A</w:t>
      </w:r>
      <w:r w:rsidR="00642CAD">
        <w:t>C</w:t>
      </w:r>
      <w:r>
        <w:t>-</w:t>
      </w:r>
      <w:r w:rsidR="00EF38AD">
        <w:t xml:space="preserve">80 </w:t>
      </w:r>
      <w:r>
        <w:t>is</w:t>
      </w:r>
      <w:r w:rsidR="00EF38AD">
        <w:t xml:space="preserve"> </w:t>
      </w:r>
      <w:r>
        <w:t>rightly</w:t>
      </w:r>
      <w:r w:rsidR="00EF38AD">
        <w:t xml:space="preserve"> </w:t>
      </w:r>
      <w:r>
        <w:t>concerned</w:t>
      </w:r>
      <w:r w:rsidR="00EF38AD">
        <w:t xml:space="preserve"> </w:t>
      </w:r>
      <w:r>
        <w:t>with</w:t>
      </w:r>
      <w:r w:rsidR="00EF38AD">
        <w:t xml:space="preserve"> </w:t>
      </w:r>
      <w:r>
        <w:t>external</w:t>
      </w:r>
      <w:r w:rsidR="00EF38AD">
        <w:t xml:space="preserve"> </w:t>
      </w:r>
      <w:r>
        <w:t>activities</w:t>
      </w:r>
      <w:r w:rsidR="00EF38AD">
        <w:t xml:space="preserve"> </w:t>
      </w:r>
      <w:r>
        <w:t>that</w:t>
      </w:r>
      <w:r>
        <w:tab/>
        <w:t>may</w:t>
      </w:r>
      <w:r w:rsidR="00EF38AD">
        <w:t xml:space="preserve"> </w:t>
      </w:r>
      <w:r>
        <w:t>“compete”</w:t>
      </w:r>
      <w:r>
        <w:tab/>
        <w:t>with</w:t>
      </w:r>
      <w:r>
        <w:tab/>
      </w:r>
      <w:r w:rsidR="00EF38AD">
        <w:t xml:space="preserve"> </w:t>
      </w:r>
      <w:r>
        <w:t>University</w:t>
      </w:r>
      <w:r w:rsidR="00EF38AD">
        <w:t xml:space="preserve"> </w:t>
      </w:r>
      <w:r>
        <w:t>interests</w:t>
      </w:r>
      <w:r w:rsidR="00EF38AD">
        <w:t xml:space="preserve"> </w:t>
      </w:r>
      <w:r>
        <w:t>or</w:t>
      </w:r>
      <w:r w:rsidR="00EF38AD">
        <w:t xml:space="preserve"> </w:t>
      </w:r>
      <w:r>
        <w:t>that</w:t>
      </w:r>
      <w:r w:rsidR="00EF38AD">
        <w:t xml:space="preserve"> </w:t>
      </w:r>
      <w:r>
        <w:t>“interfere”</w:t>
      </w:r>
      <w:r w:rsidR="00EF38AD">
        <w:t xml:space="preserve"> </w:t>
      </w:r>
      <w:r>
        <w:t>with</w:t>
      </w:r>
      <w:r w:rsidR="00EF38AD">
        <w:t xml:space="preserve"> </w:t>
      </w:r>
      <w:r>
        <w:t>employees’</w:t>
      </w:r>
      <w:r>
        <w:tab/>
        <w:t>primary</w:t>
      </w:r>
      <w:r>
        <w:tab/>
        <w:t>University</w:t>
      </w:r>
      <w:r w:rsidR="00EF38AD">
        <w:t xml:space="preserve"> </w:t>
      </w:r>
      <w:r>
        <w:t>responsibilities.</w:t>
      </w:r>
      <w:r>
        <w:tab/>
      </w:r>
    </w:p>
    <w:p w14:paraId="571DD8E4" w14:textId="384FFD7F" w:rsidR="00B96DA7" w:rsidRDefault="00B96DA7" w:rsidP="00B96DA7">
      <w:r>
        <w:t>This</w:t>
      </w:r>
      <w:r w:rsidR="00EF38AD">
        <w:t xml:space="preserve"> </w:t>
      </w:r>
      <w:r>
        <w:t>policy</w:t>
      </w:r>
      <w:r w:rsidR="00EF38AD">
        <w:t xml:space="preserve"> </w:t>
      </w:r>
      <w:r>
        <w:t>does</w:t>
      </w:r>
      <w:r>
        <w:tab/>
        <w:t>not</w:t>
      </w:r>
      <w:r w:rsidR="00EF38AD">
        <w:t xml:space="preserve"> </w:t>
      </w:r>
      <w:r>
        <w:t>address</w:t>
      </w:r>
      <w:r w:rsidR="00EF38AD">
        <w:t xml:space="preserve"> </w:t>
      </w:r>
      <w:r>
        <w:t>teaching</w:t>
      </w:r>
      <w:r w:rsidR="00EF38AD">
        <w:t xml:space="preserve"> </w:t>
      </w:r>
      <w:r>
        <w:t>or</w:t>
      </w:r>
      <w:r>
        <w:tab/>
        <w:t>other</w:t>
      </w:r>
      <w:r w:rsidR="00EF38AD">
        <w:t xml:space="preserve"> </w:t>
      </w:r>
      <w:r>
        <w:t>supplemental</w:t>
      </w:r>
      <w:r w:rsidR="00EF38AD">
        <w:t xml:space="preserve"> </w:t>
      </w:r>
      <w:r>
        <w:t>activities</w:t>
      </w:r>
      <w:r w:rsidR="00EF38AD">
        <w:t xml:space="preserve"> </w:t>
      </w:r>
      <w:r>
        <w:t>within</w:t>
      </w:r>
      <w:r w:rsidR="00EF38AD">
        <w:t xml:space="preserve"> </w:t>
      </w:r>
      <w:r>
        <w:t>the</w:t>
      </w:r>
      <w:r>
        <w:tab/>
        <w:t>College</w:t>
      </w:r>
      <w:r>
        <w:tab/>
        <w:t>or</w:t>
      </w:r>
      <w:r w:rsidR="00EF38AD">
        <w:t xml:space="preserve"> </w:t>
      </w:r>
      <w:r>
        <w:t>within</w:t>
      </w:r>
      <w:r w:rsidR="00EF38AD">
        <w:t xml:space="preserve"> </w:t>
      </w:r>
      <w:r>
        <w:t>other</w:t>
      </w:r>
      <w:r w:rsidR="00EF38AD">
        <w:t xml:space="preserve"> colleges and </w:t>
      </w:r>
      <w:r>
        <w:t>units</w:t>
      </w:r>
      <w:r w:rsidR="00EF38AD">
        <w:t xml:space="preserve"> </w:t>
      </w:r>
      <w:r>
        <w:t>of</w:t>
      </w:r>
      <w:r w:rsidR="00EF38AD">
        <w:t xml:space="preserve"> </w:t>
      </w:r>
      <w:r>
        <w:t>the</w:t>
      </w:r>
      <w:r w:rsidR="00EF38AD">
        <w:t xml:space="preserve"> </w:t>
      </w:r>
      <w:r>
        <w:t>University.</w:t>
      </w:r>
      <w:r>
        <w:tab/>
      </w:r>
    </w:p>
    <w:p w14:paraId="3BE5B306" w14:textId="6C2D5021" w:rsidR="00B96DA7" w:rsidRDefault="00B96DA7" w:rsidP="00B96DA7">
      <w:r>
        <w:t>College</w:t>
      </w:r>
      <w:r>
        <w:tab/>
        <w:t>policies</w:t>
      </w:r>
      <w:r>
        <w:tab/>
        <w:t>regarding</w:t>
      </w:r>
      <w:r w:rsidR="00EF38AD">
        <w:t xml:space="preserve"> </w:t>
      </w:r>
      <w:r>
        <w:t>the</w:t>
      </w:r>
      <w:r w:rsidR="00EF38AD">
        <w:t xml:space="preserve"> </w:t>
      </w:r>
      <w:r>
        <w:t>awarding</w:t>
      </w:r>
      <w:r>
        <w:tab/>
        <w:t>of</w:t>
      </w:r>
      <w:r w:rsidR="00EF38AD">
        <w:t xml:space="preserve"> </w:t>
      </w:r>
      <w:r>
        <w:t>tenure</w:t>
      </w:r>
      <w:r w:rsidR="00E454FB">
        <w:t xml:space="preserve"> and</w:t>
      </w:r>
      <w:r w:rsidR="00EF38AD">
        <w:t xml:space="preserve"> </w:t>
      </w:r>
      <w:r>
        <w:t>promotion</w:t>
      </w:r>
      <w:r w:rsidR="00E454FB">
        <w:t xml:space="preserve"> along with</w:t>
      </w:r>
      <w:r w:rsidR="00EF38AD">
        <w:t xml:space="preserve"> </w:t>
      </w:r>
      <w:r>
        <w:t>employee</w:t>
      </w:r>
      <w:r w:rsidR="00EF38AD">
        <w:t xml:space="preserve"> </w:t>
      </w:r>
      <w:r>
        <w:t>responsibilities</w:t>
      </w:r>
      <w:r w:rsidR="00EF38AD">
        <w:t xml:space="preserve"> </w:t>
      </w:r>
      <w:r>
        <w:t>and</w:t>
      </w:r>
      <w:r w:rsidR="002200E8">
        <w:t xml:space="preserve"> </w:t>
      </w:r>
      <w:r>
        <w:t>assessment</w:t>
      </w:r>
      <w:r w:rsidR="002200E8">
        <w:t xml:space="preserve"> </w:t>
      </w:r>
      <w:r>
        <w:t>encourage</w:t>
      </w:r>
      <w:r w:rsidR="002200E8">
        <w:t xml:space="preserve"> </w:t>
      </w:r>
      <w:r>
        <w:t>external</w:t>
      </w:r>
      <w:r w:rsidR="00E454FB">
        <w:t xml:space="preserve"> </w:t>
      </w:r>
      <w:r>
        <w:t>activit</w:t>
      </w:r>
      <w:r w:rsidR="00E454FB">
        <w:t>y</w:t>
      </w:r>
      <w:r>
        <w:t>.</w:t>
      </w:r>
      <w:r w:rsidR="002200E8">
        <w:t xml:space="preserve"> </w:t>
      </w:r>
      <w:r>
        <w:t>Such</w:t>
      </w:r>
      <w:r w:rsidR="002200E8">
        <w:t xml:space="preserve"> </w:t>
      </w:r>
      <w:r>
        <w:t>activity</w:t>
      </w:r>
      <w:r w:rsidR="002200E8">
        <w:t xml:space="preserve"> </w:t>
      </w:r>
      <w:r>
        <w:t>is</w:t>
      </w:r>
      <w:r w:rsidR="002200E8">
        <w:t xml:space="preserve"> </w:t>
      </w:r>
      <w:r>
        <w:t>presumed</w:t>
      </w:r>
      <w:r w:rsidR="002200E8">
        <w:t xml:space="preserve"> </w:t>
      </w:r>
      <w:r>
        <w:t>to</w:t>
      </w:r>
      <w:r w:rsidR="002200E8">
        <w:t xml:space="preserve"> </w:t>
      </w:r>
      <w:r>
        <w:t>be</w:t>
      </w:r>
      <w:r w:rsidR="002200E8">
        <w:t xml:space="preserve"> </w:t>
      </w:r>
      <w:r>
        <w:t>of</w:t>
      </w:r>
      <w:r w:rsidR="002200E8">
        <w:t xml:space="preserve"> </w:t>
      </w:r>
      <w:r>
        <w:t>inherent</w:t>
      </w:r>
      <w:r w:rsidR="002200E8">
        <w:t xml:space="preserve"> </w:t>
      </w:r>
      <w:r>
        <w:t>bent</w:t>
      </w:r>
      <w:r w:rsidR="002200E8">
        <w:t xml:space="preserve"> </w:t>
      </w:r>
      <w:r>
        <w:t>to</w:t>
      </w:r>
      <w:r w:rsidR="002200E8">
        <w:t xml:space="preserve"> </w:t>
      </w:r>
      <w:r>
        <w:t>the</w:t>
      </w:r>
      <w:r w:rsidR="002200E8">
        <w:t xml:space="preserve"> </w:t>
      </w:r>
      <w:r>
        <w:t>interests</w:t>
      </w:r>
      <w:r w:rsidR="002200E8">
        <w:t xml:space="preserve"> </w:t>
      </w:r>
      <w:r>
        <w:t>of</w:t>
      </w:r>
      <w:r w:rsidR="002200E8">
        <w:t xml:space="preserve"> </w:t>
      </w:r>
      <w:r>
        <w:t>both</w:t>
      </w:r>
      <w:r w:rsidR="002200E8">
        <w:t xml:space="preserve"> </w:t>
      </w:r>
      <w:r>
        <w:t>the</w:t>
      </w:r>
      <w:r w:rsidR="002200E8">
        <w:t xml:space="preserve"> </w:t>
      </w:r>
      <w:r>
        <w:t>College</w:t>
      </w:r>
      <w:r w:rsidR="002200E8">
        <w:t xml:space="preserve"> </w:t>
      </w:r>
      <w:r>
        <w:t>and</w:t>
      </w:r>
      <w:r w:rsidR="002200E8">
        <w:t xml:space="preserve"> </w:t>
      </w:r>
      <w:r>
        <w:t>the</w:t>
      </w:r>
      <w:r w:rsidR="002200E8">
        <w:t xml:space="preserve"> </w:t>
      </w:r>
      <w:r>
        <w:t>University.</w:t>
      </w:r>
      <w:r>
        <w:tab/>
        <w:t>Faculty</w:t>
      </w:r>
      <w:r>
        <w:tab/>
        <w:t>and</w:t>
      </w:r>
      <w:r w:rsidR="002200E8">
        <w:t xml:space="preserve"> </w:t>
      </w:r>
      <w:r>
        <w:t>employees</w:t>
      </w:r>
      <w:r>
        <w:tab/>
        <w:t>are</w:t>
      </w:r>
      <w:r w:rsidR="002200E8">
        <w:t xml:space="preserve"> </w:t>
      </w:r>
      <w:r>
        <w:t>expected</w:t>
      </w:r>
      <w:r w:rsidR="002200E8">
        <w:t xml:space="preserve"> </w:t>
      </w:r>
      <w:r>
        <w:t>to</w:t>
      </w:r>
      <w:r>
        <w:tab/>
        <w:t>pursue</w:t>
      </w:r>
      <w:r w:rsidR="002200E8">
        <w:t xml:space="preserve"> </w:t>
      </w:r>
      <w:r>
        <w:t>continued</w:t>
      </w:r>
      <w:r w:rsidR="002200E8">
        <w:t xml:space="preserve"> </w:t>
      </w:r>
      <w:r>
        <w:t>development</w:t>
      </w:r>
      <w:r>
        <w:tab/>
      </w:r>
      <w:r w:rsidR="002200E8">
        <w:t xml:space="preserve"> </w:t>
      </w:r>
      <w:r>
        <w:t>of</w:t>
      </w:r>
      <w:r w:rsidR="002200E8">
        <w:t xml:space="preserve"> </w:t>
      </w:r>
      <w:r>
        <w:t>expertise</w:t>
      </w:r>
      <w:r w:rsidR="002200E8">
        <w:t xml:space="preserve"> </w:t>
      </w:r>
      <w:r>
        <w:t>and</w:t>
      </w:r>
      <w:r w:rsidR="002200E8">
        <w:t xml:space="preserve"> </w:t>
      </w:r>
      <w:r>
        <w:t>skill</w:t>
      </w:r>
      <w:r w:rsidR="002200E8">
        <w:t xml:space="preserve"> </w:t>
      </w:r>
      <w:r>
        <w:t>applications</w:t>
      </w:r>
      <w:r w:rsidR="002200E8">
        <w:t xml:space="preserve"> </w:t>
      </w:r>
      <w:r>
        <w:t>in</w:t>
      </w:r>
      <w:r w:rsidR="002200E8">
        <w:t xml:space="preserve"> </w:t>
      </w:r>
      <w:r>
        <w:t>the</w:t>
      </w:r>
      <w:r w:rsidR="002200E8">
        <w:t xml:space="preserve"> </w:t>
      </w:r>
      <w:r>
        <w:t>areas</w:t>
      </w:r>
      <w:r w:rsidR="002200E8">
        <w:t xml:space="preserve"> </w:t>
      </w:r>
      <w:r>
        <w:t>of</w:t>
      </w:r>
      <w:r w:rsidR="002200E8">
        <w:t xml:space="preserve"> </w:t>
      </w:r>
      <w:r>
        <w:t>teaching,</w:t>
      </w:r>
      <w:r w:rsidR="002200E8">
        <w:t xml:space="preserve"> </w:t>
      </w:r>
      <w:r w:rsidR="00642CAD">
        <w:t>research,</w:t>
      </w:r>
      <w:r w:rsidR="002200E8">
        <w:t xml:space="preserve"> </w:t>
      </w:r>
      <w:r>
        <w:t>and</w:t>
      </w:r>
      <w:r>
        <w:tab/>
      </w:r>
      <w:r w:rsidR="00E454FB">
        <w:t xml:space="preserve"> </w:t>
      </w:r>
      <w:r>
        <w:t>service;</w:t>
      </w:r>
      <w:r w:rsidR="002200E8">
        <w:t xml:space="preserve"> </w:t>
      </w:r>
      <w:r>
        <w:t>the</w:t>
      </w:r>
      <w:r w:rsidR="002200E8">
        <w:t xml:space="preserve"> </w:t>
      </w:r>
      <w:r>
        <w:t>presumption</w:t>
      </w:r>
      <w:r w:rsidR="002200E8">
        <w:t xml:space="preserve"> </w:t>
      </w:r>
      <w:r>
        <w:t>inherent</w:t>
      </w:r>
      <w:r w:rsidR="002200E8">
        <w:t xml:space="preserve"> </w:t>
      </w:r>
      <w:r>
        <w:t>in</w:t>
      </w:r>
      <w:r w:rsidR="002200E8">
        <w:t xml:space="preserve"> </w:t>
      </w:r>
      <w:r>
        <w:t>this</w:t>
      </w:r>
      <w:r w:rsidR="002200E8">
        <w:t xml:space="preserve"> </w:t>
      </w:r>
      <w:r>
        <w:t>expectation</w:t>
      </w:r>
      <w:r w:rsidR="002200E8">
        <w:t xml:space="preserve"> </w:t>
      </w:r>
      <w:r>
        <w:t>is</w:t>
      </w:r>
      <w:r w:rsidR="002200E8">
        <w:t xml:space="preserve"> </w:t>
      </w:r>
      <w:r>
        <w:t>that</w:t>
      </w:r>
      <w:r w:rsidR="002200E8">
        <w:t xml:space="preserve"> </w:t>
      </w:r>
      <w:r>
        <w:t>most</w:t>
      </w:r>
      <w:r w:rsidR="002200E8">
        <w:t xml:space="preserve"> of </w:t>
      </w:r>
      <w:r>
        <w:t>such</w:t>
      </w:r>
      <w:r w:rsidR="002200E8">
        <w:t xml:space="preserve"> </w:t>
      </w:r>
      <w:r w:rsidR="0040427A">
        <w:t>activities extend</w:t>
      </w:r>
      <w:r w:rsidR="002200E8">
        <w:t xml:space="preserve"> </w:t>
      </w:r>
      <w:r>
        <w:t>the</w:t>
      </w:r>
      <w:r w:rsidR="002200E8">
        <w:t xml:space="preserve"> </w:t>
      </w:r>
      <w:r>
        <w:t>educational,</w:t>
      </w:r>
      <w:r w:rsidR="002200E8">
        <w:t xml:space="preserve"> </w:t>
      </w:r>
      <w:r>
        <w:t>service</w:t>
      </w:r>
      <w:r w:rsidR="002200E8">
        <w:t xml:space="preserve"> </w:t>
      </w:r>
      <w:r>
        <w:t>and</w:t>
      </w:r>
      <w:r w:rsidR="002200E8">
        <w:t xml:space="preserve"> </w:t>
      </w:r>
      <w:r>
        <w:t>research</w:t>
      </w:r>
      <w:r w:rsidR="002200E8">
        <w:t xml:space="preserve"> </w:t>
      </w:r>
      <w:r>
        <w:t>missions</w:t>
      </w:r>
      <w:r w:rsidR="002200E8">
        <w:t xml:space="preserve"> </w:t>
      </w:r>
      <w:r>
        <w:t>of</w:t>
      </w:r>
      <w:r w:rsidR="002200E8">
        <w:t xml:space="preserve"> </w:t>
      </w:r>
      <w:r>
        <w:t>the</w:t>
      </w:r>
      <w:r w:rsidR="002200E8">
        <w:t xml:space="preserve"> </w:t>
      </w:r>
      <w:r>
        <w:t>institution.</w:t>
      </w:r>
      <w:r>
        <w:tab/>
      </w:r>
    </w:p>
    <w:p w14:paraId="00F3ACD3" w14:textId="44F96CD2" w:rsidR="00B96DA7" w:rsidRDefault="00B96DA7" w:rsidP="00B96DA7">
      <w:r>
        <w:t>These</w:t>
      </w:r>
      <w:r w:rsidR="002200E8">
        <w:t xml:space="preserve"> </w:t>
      </w:r>
      <w:r>
        <w:t>Guidelines</w:t>
      </w:r>
      <w:r w:rsidR="002200E8">
        <w:t xml:space="preserve"> </w:t>
      </w:r>
      <w:r>
        <w:t>are</w:t>
      </w:r>
      <w:r w:rsidR="002200E8">
        <w:t xml:space="preserve"> </w:t>
      </w:r>
      <w:r>
        <w:t>intended</w:t>
      </w:r>
      <w:r w:rsidR="002200E8">
        <w:t xml:space="preserve"> </w:t>
      </w:r>
      <w:r>
        <w:t>to</w:t>
      </w:r>
      <w:r w:rsidR="002200E8">
        <w:t xml:space="preserve"> </w:t>
      </w:r>
      <w:r>
        <w:t>reaffirm</w:t>
      </w:r>
      <w:r w:rsidR="002200E8">
        <w:t xml:space="preserve"> </w:t>
      </w:r>
      <w:r>
        <w:t>such</w:t>
      </w:r>
      <w:r w:rsidR="002200E8">
        <w:t xml:space="preserve"> </w:t>
      </w:r>
      <w:r>
        <w:t>expectations</w:t>
      </w:r>
      <w:r w:rsidR="002200E8">
        <w:t xml:space="preserve"> </w:t>
      </w:r>
      <w:r>
        <w:t>by</w:t>
      </w:r>
      <w:r w:rsidR="002200E8">
        <w:t xml:space="preserve"> </w:t>
      </w:r>
      <w:r>
        <w:t>setting</w:t>
      </w:r>
      <w:r w:rsidR="002200E8">
        <w:t xml:space="preserve"> </w:t>
      </w:r>
      <w:r>
        <w:t>forth</w:t>
      </w:r>
      <w:r w:rsidR="002200E8">
        <w:t xml:space="preserve"> </w:t>
      </w:r>
      <w:r>
        <w:t>a</w:t>
      </w:r>
      <w:r w:rsidR="002200E8">
        <w:t xml:space="preserve"> </w:t>
      </w:r>
      <w:r w:rsidR="00835C31">
        <w:t xml:space="preserve">College </w:t>
      </w:r>
      <w:r>
        <w:t>process</w:t>
      </w:r>
      <w:r w:rsidR="002200E8">
        <w:t xml:space="preserve"> </w:t>
      </w:r>
      <w:r>
        <w:t>of</w:t>
      </w:r>
      <w:r w:rsidR="002200E8">
        <w:t xml:space="preserve"> </w:t>
      </w:r>
      <w:r>
        <w:t>notification</w:t>
      </w:r>
      <w:r w:rsidR="002200E8">
        <w:t xml:space="preserve"> </w:t>
      </w:r>
      <w:r>
        <w:t>and,</w:t>
      </w:r>
      <w:r w:rsidR="002200E8">
        <w:t xml:space="preserve"> </w:t>
      </w:r>
      <w:r>
        <w:t>in</w:t>
      </w:r>
      <w:r w:rsidR="002200E8">
        <w:t xml:space="preserve"> </w:t>
      </w:r>
      <w:r>
        <w:t>some</w:t>
      </w:r>
      <w:r w:rsidR="002200E8">
        <w:t xml:space="preserve"> </w:t>
      </w:r>
      <w:r>
        <w:t>cases,</w:t>
      </w:r>
      <w:r>
        <w:tab/>
        <w:t>approval</w:t>
      </w:r>
      <w:r w:rsidR="002200E8">
        <w:t xml:space="preserve"> </w:t>
      </w:r>
      <w:r>
        <w:t>for</w:t>
      </w:r>
      <w:r w:rsidR="002200E8">
        <w:t xml:space="preserve"> </w:t>
      </w:r>
      <w:r>
        <w:t>external</w:t>
      </w:r>
      <w:r w:rsidR="002200E8">
        <w:t xml:space="preserve"> </w:t>
      </w:r>
      <w:r>
        <w:t>activities.</w:t>
      </w:r>
      <w:r w:rsidR="002200E8">
        <w:t xml:space="preserve"> </w:t>
      </w:r>
      <w:r>
        <w:t>Since</w:t>
      </w:r>
      <w:r w:rsidR="002200E8">
        <w:t xml:space="preserve"> </w:t>
      </w:r>
      <w:r>
        <w:t>the</w:t>
      </w:r>
      <w:r w:rsidR="002200E8">
        <w:t xml:space="preserve"> </w:t>
      </w:r>
      <w:r>
        <w:t>contexts</w:t>
      </w:r>
      <w:r w:rsidR="002200E8">
        <w:t xml:space="preserve"> </w:t>
      </w:r>
      <w:r>
        <w:t>of</w:t>
      </w:r>
      <w:r w:rsidR="002200E8">
        <w:t xml:space="preserve"> </w:t>
      </w:r>
      <w:r>
        <w:t>such</w:t>
      </w:r>
      <w:r w:rsidR="002200E8">
        <w:t xml:space="preserve"> </w:t>
      </w:r>
      <w:r>
        <w:t>outside</w:t>
      </w:r>
      <w:r w:rsidR="002200E8">
        <w:t xml:space="preserve"> </w:t>
      </w:r>
      <w:r>
        <w:t>activities</w:t>
      </w:r>
      <w:r w:rsidR="002200E8">
        <w:t xml:space="preserve"> </w:t>
      </w:r>
      <w:r>
        <w:t>can</w:t>
      </w:r>
      <w:r w:rsidR="002200E8">
        <w:t xml:space="preserve"> </w:t>
      </w:r>
      <w:r>
        <w:t>vary</w:t>
      </w:r>
      <w:r w:rsidR="002200E8">
        <w:t xml:space="preserve"> </w:t>
      </w:r>
      <w:r>
        <w:t>greatly,</w:t>
      </w:r>
      <w:r w:rsidR="002200E8">
        <w:t xml:space="preserve"> </w:t>
      </w:r>
      <w:r>
        <w:t>and</w:t>
      </w:r>
      <w:r w:rsidR="002200E8">
        <w:t xml:space="preserve"> </w:t>
      </w:r>
      <w:r>
        <w:t>since</w:t>
      </w:r>
      <w:r w:rsidR="002200E8">
        <w:t xml:space="preserve"> </w:t>
      </w:r>
      <w:r>
        <w:t>the</w:t>
      </w:r>
      <w:r>
        <w:tab/>
        <w:t>development</w:t>
      </w:r>
      <w:r w:rsidR="002200E8">
        <w:t xml:space="preserve"> </w:t>
      </w:r>
      <w:r>
        <w:t>of</w:t>
      </w:r>
      <w:r>
        <w:tab/>
        <w:t>activities</w:t>
      </w:r>
      <w:r w:rsidR="002200E8">
        <w:t xml:space="preserve"> </w:t>
      </w:r>
      <w:r>
        <w:t>from</w:t>
      </w:r>
      <w:r w:rsidR="002200E8">
        <w:t xml:space="preserve"> </w:t>
      </w:r>
      <w:r>
        <w:t>faculty</w:t>
      </w:r>
      <w:r w:rsidR="002200E8">
        <w:t xml:space="preserve"> </w:t>
      </w:r>
      <w:r>
        <w:t>expertise</w:t>
      </w:r>
      <w:r>
        <w:tab/>
        <w:t>cannot</w:t>
      </w:r>
      <w:r>
        <w:tab/>
        <w:t>often</w:t>
      </w:r>
      <w:r w:rsidR="002200E8">
        <w:t xml:space="preserve"> </w:t>
      </w:r>
      <w:r>
        <w:t>be</w:t>
      </w:r>
      <w:r w:rsidR="002200E8">
        <w:t xml:space="preserve"> </w:t>
      </w:r>
      <w:r>
        <w:t>predicted,</w:t>
      </w:r>
      <w:r w:rsidR="002200E8">
        <w:t xml:space="preserve"> </w:t>
      </w:r>
      <w:r>
        <w:t>individual</w:t>
      </w:r>
      <w:r>
        <w:tab/>
        <w:t>faculty</w:t>
      </w:r>
      <w:r w:rsidR="002200E8">
        <w:t xml:space="preserve"> </w:t>
      </w:r>
      <w:r>
        <w:t>are</w:t>
      </w:r>
      <w:r w:rsidR="002200E8">
        <w:t xml:space="preserve"> </w:t>
      </w:r>
      <w:r>
        <w:t>presumed</w:t>
      </w:r>
      <w:r w:rsidR="002200E8">
        <w:t xml:space="preserve"> </w:t>
      </w:r>
      <w:r>
        <w:t>best</w:t>
      </w:r>
      <w:r w:rsidR="002200E8">
        <w:t xml:space="preserve"> </w:t>
      </w:r>
      <w:r>
        <w:t>equipped</w:t>
      </w:r>
      <w:r w:rsidR="002200E8">
        <w:t xml:space="preserve"> </w:t>
      </w:r>
      <w:r>
        <w:t>to</w:t>
      </w:r>
      <w:r w:rsidR="002200E8">
        <w:t xml:space="preserve"> </w:t>
      </w:r>
      <w:r>
        <w:t>assess</w:t>
      </w:r>
      <w:r w:rsidR="002200E8">
        <w:t xml:space="preserve"> </w:t>
      </w:r>
      <w:r>
        <w:t>whether</w:t>
      </w:r>
      <w:r w:rsidR="002200E8">
        <w:t xml:space="preserve"> </w:t>
      </w:r>
      <w:r>
        <w:t>external</w:t>
      </w:r>
      <w:r>
        <w:tab/>
        <w:t>activities</w:t>
      </w:r>
      <w:r w:rsidR="002200E8">
        <w:t xml:space="preserve"> </w:t>
      </w:r>
      <w:r>
        <w:t>may</w:t>
      </w:r>
      <w:r>
        <w:tab/>
      </w:r>
      <w:r w:rsidR="002200E8">
        <w:t xml:space="preserve"> </w:t>
      </w:r>
      <w:r>
        <w:t>constitute</w:t>
      </w:r>
      <w:r w:rsidR="002200E8">
        <w:t xml:space="preserve"> </w:t>
      </w:r>
      <w:r>
        <w:t>questionable</w:t>
      </w:r>
      <w:r>
        <w:tab/>
        <w:t>competition</w:t>
      </w:r>
      <w:r w:rsidR="002200E8">
        <w:t xml:space="preserve"> </w:t>
      </w:r>
      <w:r>
        <w:t>or</w:t>
      </w:r>
      <w:r w:rsidR="002200E8">
        <w:t xml:space="preserve"> </w:t>
      </w:r>
      <w:r>
        <w:t>interference.</w:t>
      </w:r>
      <w:r>
        <w:tab/>
      </w:r>
    </w:p>
    <w:p w14:paraId="1F39D673" w14:textId="07C7947D" w:rsidR="00B96DA7" w:rsidRDefault="00B96DA7" w:rsidP="00B96DA7">
      <w:r w:rsidRPr="00116038">
        <w:rPr>
          <w:b/>
          <w:bCs/>
        </w:rPr>
        <w:t>Activities</w:t>
      </w:r>
      <w:r w:rsidR="00116038" w:rsidRPr="00116038">
        <w:rPr>
          <w:b/>
          <w:bCs/>
        </w:rPr>
        <w:t xml:space="preserve"> </w:t>
      </w:r>
      <w:r w:rsidRPr="00116038">
        <w:rPr>
          <w:b/>
          <w:bCs/>
        </w:rPr>
        <w:t>not</w:t>
      </w:r>
      <w:r w:rsidR="00116038" w:rsidRPr="00116038">
        <w:rPr>
          <w:b/>
          <w:bCs/>
        </w:rPr>
        <w:t xml:space="preserve"> </w:t>
      </w:r>
      <w:r w:rsidRPr="00116038">
        <w:rPr>
          <w:b/>
          <w:bCs/>
        </w:rPr>
        <w:t>approved</w:t>
      </w:r>
      <w:r>
        <w:t>.</w:t>
      </w:r>
      <w:r w:rsidR="00116038">
        <w:t xml:space="preserve"> </w:t>
      </w:r>
      <w:r>
        <w:t>The</w:t>
      </w:r>
      <w:r w:rsidR="00116038">
        <w:t xml:space="preserve"> </w:t>
      </w:r>
      <w:r>
        <w:t>following</w:t>
      </w:r>
      <w:r w:rsidR="00116038">
        <w:t xml:space="preserve"> </w:t>
      </w:r>
      <w:r>
        <w:t>academic</w:t>
      </w:r>
      <w:r w:rsidR="00116038">
        <w:t xml:space="preserve"> </w:t>
      </w:r>
      <w:r>
        <w:t>activities</w:t>
      </w:r>
      <w:r w:rsidR="00116038">
        <w:t xml:space="preserve"> </w:t>
      </w:r>
      <w:r>
        <w:t>will</w:t>
      </w:r>
      <w:r w:rsidR="00116038">
        <w:t xml:space="preserve"> </w:t>
      </w:r>
      <w:r>
        <w:t>not</w:t>
      </w:r>
      <w:r w:rsidR="00116038">
        <w:t xml:space="preserve"> </w:t>
      </w:r>
      <w:r>
        <w:t>be</w:t>
      </w:r>
      <w:r w:rsidR="00116038">
        <w:t xml:space="preserve"> </w:t>
      </w:r>
      <w:r>
        <w:t>approved:</w:t>
      </w:r>
    </w:p>
    <w:p w14:paraId="478CB726" w14:textId="44485DE4" w:rsidR="00B96DA7" w:rsidRDefault="00B96DA7" w:rsidP="0086028C">
      <w:pPr>
        <w:ind w:left="720"/>
      </w:pPr>
      <w:r>
        <w:t xml:space="preserve">• </w:t>
      </w:r>
      <w:r w:rsidR="00E454FB">
        <w:t xml:space="preserve">Being granted tenure </w:t>
      </w:r>
      <w:r>
        <w:t>at</w:t>
      </w:r>
      <w:r w:rsidR="00116038">
        <w:t xml:space="preserve"> </w:t>
      </w:r>
      <w:r>
        <w:t>another</w:t>
      </w:r>
      <w:r w:rsidR="00116038">
        <w:t xml:space="preserve"> </w:t>
      </w:r>
      <w:r>
        <w:t>institution</w:t>
      </w:r>
      <w:r w:rsidR="00116038">
        <w:t xml:space="preserve"> </w:t>
      </w:r>
      <w:r>
        <w:t>of</w:t>
      </w:r>
      <w:r w:rsidR="00116038">
        <w:t xml:space="preserve"> </w:t>
      </w:r>
      <w:r>
        <w:t>higher</w:t>
      </w:r>
      <w:r w:rsidR="00116038">
        <w:t xml:space="preserve"> </w:t>
      </w:r>
      <w:r>
        <w:t>education</w:t>
      </w:r>
      <w:r w:rsidR="00116038">
        <w:t xml:space="preserve"> </w:t>
      </w:r>
      <w:r>
        <w:t>(except</w:t>
      </w:r>
      <w:r w:rsidR="00835C31">
        <w:t>,</w:t>
      </w:r>
      <w:r w:rsidR="00116038">
        <w:t xml:space="preserve"> </w:t>
      </w:r>
      <w:r>
        <w:t>of</w:t>
      </w:r>
      <w:r w:rsidR="00116038">
        <w:t xml:space="preserve"> </w:t>
      </w:r>
      <w:r>
        <w:t>course</w:t>
      </w:r>
      <w:r w:rsidR="00835C31">
        <w:t>,</w:t>
      </w:r>
      <w:r w:rsidR="00116038">
        <w:t xml:space="preserve"> </w:t>
      </w:r>
      <w:r>
        <w:t>for</w:t>
      </w:r>
      <w:r w:rsidR="00835C31">
        <w:t xml:space="preserve"> </w:t>
      </w:r>
      <w:r>
        <w:t>a</w:t>
      </w:r>
      <w:r w:rsidR="00116038">
        <w:t xml:space="preserve"> </w:t>
      </w:r>
      <w:r>
        <w:t>faculty</w:t>
      </w:r>
      <w:r w:rsidR="00116038">
        <w:t xml:space="preserve"> </w:t>
      </w:r>
      <w:r>
        <w:t>member</w:t>
      </w:r>
      <w:r w:rsidR="00116038">
        <w:t xml:space="preserve"> </w:t>
      </w:r>
      <w:r>
        <w:t>who</w:t>
      </w:r>
      <w:r w:rsidR="00116038">
        <w:t xml:space="preserve"> </w:t>
      </w:r>
      <w:r>
        <w:t>holds</w:t>
      </w:r>
      <w:r w:rsidR="00116038">
        <w:t xml:space="preserve"> </w:t>
      </w:r>
      <w:r>
        <w:t>a</w:t>
      </w:r>
      <w:r w:rsidR="00116038">
        <w:t xml:space="preserve"> </w:t>
      </w:r>
      <w:r>
        <w:t>visiting</w:t>
      </w:r>
      <w:r w:rsidR="00116038">
        <w:t xml:space="preserve"> </w:t>
      </w:r>
      <w:r>
        <w:t>rank</w:t>
      </w:r>
      <w:r w:rsidR="00116038">
        <w:t xml:space="preserve"> at Penn State</w:t>
      </w:r>
      <w:r>
        <w:t>).</w:t>
      </w:r>
    </w:p>
    <w:p w14:paraId="4D9AB978" w14:textId="60A932DA" w:rsidR="004D354B" w:rsidRDefault="00B96DA7" w:rsidP="00B96DA7">
      <w:r w:rsidRPr="00865D99">
        <w:rPr>
          <w:b/>
          <w:bCs/>
        </w:rPr>
        <w:t>Examples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of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activities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requiring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advance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notification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and</w:t>
      </w:r>
      <w:r w:rsidR="00116038" w:rsidRPr="00865D99">
        <w:rPr>
          <w:b/>
          <w:bCs/>
        </w:rPr>
        <w:t xml:space="preserve"> </w:t>
      </w:r>
      <w:r w:rsidRPr="00865D99">
        <w:rPr>
          <w:b/>
          <w:bCs/>
        </w:rPr>
        <w:t>approval</w:t>
      </w:r>
      <w:r>
        <w:t>.</w:t>
      </w:r>
      <w:r w:rsidR="00116038">
        <w:t xml:space="preserve"> </w:t>
      </w:r>
      <w:r>
        <w:t>Faculty</w:t>
      </w:r>
      <w:r w:rsidR="00116038">
        <w:t xml:space="preserve"> </w:t>
      </w:r>
      <w:r>
        <w:t>engaged</w:t>
      </w:r>
      <w:r w:rsidR="00116038">
        <w:t xml:space="preserve"> </w:t>
      </w:r>
      <w:r>
        <w:t>in</w:t>
      </w:r>
      <w:r w:rsidR="00116038">
        <w:t xml:space="preserve"> </w:t>
      </w:r>
      <w:r>
        <w:t>the</w:t>
      </w:r>
      <w:r w:rsidR="00116038">
        <w:t xml:space="preserve"> </w:t>
      </w:r>
      <w:r>
        <w:t>following</w:t>
      </w:r>
      <w:r w:rsidR="00116038">
        <w:t xml:space="preserve"> </w:t>
      </w:r>
      <w:r>
        <w:t>activit</w:t>
      </w:r>
      <w:r w:rsidR="002E7877">
        <w:t xml:space="preserve">ies </w:t>
      </w:r>
      <w:r>
        <w:t>are</w:t>
      </w:r>
      <w:r w:rsidR="00116038">
        <w:t xml:space="preserve"> </w:t>
      </w:r>
      <w:r>
        <w:t>required</w:t>
      </w:r>
      <w:r w:rsidR="00116038">
        <w:t xml:space="preserve"> </w:t>
      </w:r>
      <w:r>
        <w:t>to</w:t>
      </w:r>
      <w:r w:rsidR="00116038">
        <w:t xml:space="preserve"> </w:t>
      </w:r>
      <w:r>
        <w:t>notify their</w:t>
      </w:r>
      <w:r w:rsidR="00116038">
        <w:t xml:space="preserve"> </w:t>
      </w:r>
      <w:r>
        <w:t>Department</w:t>
      </w:r>
      <w:r w:rsidR="002E7877">
        <w:t xml:space="preserve"> </w:t>
      </w:r>
      <w:r>
        <w:t>Head and</w:t>
      </w:r>
      <w:r w:rsidR="00116038">
        <w:t xml:space="preserve"> </w:t>
      </w:r>
      <w:r>
        <w:t>seek</w:t>
      </w:r>
      <w:r w:rsidR="00116038">
        <w:t xml:space="preserve"> </w:t>
      </w:r>
      <w:r>
        <w:t>approval</w:t>
      </w:r>
      <w:r w:rsidR="00116038">
        <w:t xml:space="preserve"> </w:t>
      </w:r>
      <w:r>
        <w:t>from</w:t>
      </w:r>
      <w:r w:rsidR="00116038">
        <w:t xml:space="preserve"> </w:t>
      </w:r>
      <w:r>
        <w:t>the</w:t>
      </w:r>
      <w:r w:rsidR="00116038">
        <w:t xml:space="preserve"> </w:t>
      </w:r>
      <w:r>
        <w:t>Associate</w:t>
      </w:r>
      <w:r w:rsidR="00116038">
        <w:t xml:space="preserve"> </w:t>
      </w:r>
      <w:r>
        <w:t>Dean or</w:t>
      </w:r>
      <w:r w:rsidR="00116038">
        <w:t xml:space="preserve"> </w:t>
      </w:r>
      <w:r>
        <w:t>other</w:t>
      </w:r>
      <w:r w:rsidR="00116038">
        <w:t xml:space="preserve"> </w:t>
      </w:r>
      <w:r>
        <w:t>designated</w:t>
      </w:r>
      <w:r w:rsidR="00116038">
        <w:t xml:space="preserve"> </w:t>
      </w:r>
      <w:r>
        <w:t>Budget</w:t>
      </w:r>
      <w:r w:rsidR="00116038">
        <w:t xml:space="preserve"> </w:t>
      </w:r>
      <w:r>
        <w:t>Administrator</w:t>
      </w:r>
      <w:r>
        <w:tab/>
        <w:t>and</w:t>
      </w:r>
      <w:r w:rsidR="00116038">
        <w:t xml:space="preserve"> </w:t>
      </w:r>
      <w:r>
        <w:t>Budget</w:t>
      </w:r>
      <w:r w:rsidR="00116038">
        <w:t xml:space="preserve"> </w:t>
      </w:r>
      <w:r>
        <w:t>Executive</w:t>
      </w:r>
      <w:r w:rsidR="00116038">
        <w:t>:</w:t>
      </w:r>
    </w:p>
    <w:p w14:paraId="12A2441D" w14:textId="0B923D7E" w:rsidR="003913A6" w:rsidRPr="003913A6" w:rsidRDefault="003913A6" w:rsidP="006F7603">
      <w:pPr>
        <w:pStyle w:val="ListParagraph"/>
        <w:numPr>
          <w:ilvl w:val="0"/>
          <w:numId w:val="4"/>
        </w:numPr>
        <w:rPr>
          <w:rFonts w:ascii="Calibri" w:hAnsi="Calibri" w:cs="Calibri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dr w:val="none" w:sz="0" w:space="0" w:color="auto" w:frame="1"/>
          <w:shd w:val="clear" w:color="auto" w:fill="FFFFFF"/>
        </w:rPr>
        <w:t>Teaching for credit at another institution of higher education</w:t>
      </w:r>
      <w:r w:rsidRPr="003913A6">
        <w:rPr>
          <w:rFonts w:ascii="Calibri" w:hAnsi="Calibri" w:cs="Calibri"/>
          <w:bdr w:val="none" w:sz="0" w:space="0" w:color="auto" w:frame="1"/>
          <w:shd w:val="clear" w:color="auto" w:fill="FFFFFF"/>
        </w:rPr>
        <w:t> during the appointment period</w:t>
      </w:r>
      <w:r>
        <w:rPr>
          <w:rFonts w:ascii="Calibri" w:hAnsi="Calibri" w:cs="Calibri"/>
          <w:bdr w:val="none" w:sz="0" w:space="0" w:color="auto" w:frame="1"/>
          <w:shd w:val="clear" w:color="auto" w:fill="FFFFFF"/>
        </w:rPr>
        <w:t>. </w:t>
      </w:r>
      <w:r w:rsidRPr="003913A6">
        <w:rPr>
          <w:rFonts w:ascii="Calibri" w:hAnsi="Calibri" w:cs="Calibri"/>
          <w:bdr w:val="none" w:sz="0" w:space="0" w:color="auto" w:frame="1"/>
          <w:shd w:val="clear" w:color="auto" w:fill="FFFFFF"/>
        </w:rPr>
        <w:t>Such activity is discouraged during the academic calendar year.</w:t>
      </w:r>
      <w:r w:rsidRPr="003913A6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3913A6">
        <w:rPr>
          <w:rFonts w:ascii="Calibri" w:hAnsi="Calibri" w:cs="Calibri"/>
          <w:bdr w:val="none" w:sz="0" w:space="0" w:color="auto" w:frame="1"/>
          <w:shd w:val="clear" w:color="auto" w:fill="FFFFFF"/>
        </w:rPr>
        <w:t>Although, per policy, teaching at another institution outside of the appointment period does not require prior approval, faculty must make a request to teach at another institution outside of their appointment period, and will be approved if the teaching does not compete with university offerings.</w:t>
      </w:r>
    </w:p>
    <w:p w14:paraId="03B33012" w14:textId="0FC4F972" w:rsidR="00116038" w:rsidRDefault="00116038" w:rsidP="006F7603">
      <w:pPr>
        <w:pStyle w:val="ListParagraph"/>
        <w:numPr>
          <w:ilvl w:val="0"/>
          <w:numId w:val="4"/>
        </w:numPr>
      </w:pPr>
      <w:r>
        <w:t>Teaching</w:t>
      </w:r>
      <w:r w:rsidR="00114A3D">
        <w:t xml:space="preserve"> </w:t>
      </w:r>
      <w:r>
        <w:t>at</w:t>
      </w:r>
      <w:r w:rsidR="00114A3D">
        <w:t xml:space="preserve"> </w:t>
      </w:r>
      <w:r>
        <w:t>another</w:t>
      </w:r>
      <w:r w:rsidR="00114A3D">
        <w:t xml:space="preserve"> </w:t>
      </w:r>
      <w:r>
        <w:t>institution</w:t>
      </w:r>
      <w:r w:rsidR="00114A3D">
        <w:t xml:space="preserve"> </w:t>
      </w:r>
      <w:r>
        <w:t>while</w:t>
      </w:r>
      <w:r w:rsidR="00114A3D">
        <w:t xml:space="preserve"> </w:t>
      </w:r>
      <w:r>
        <w:t>on</w:t>
      </w:r>
      <w:r w:rsidR="00114A3D">
        <w:t xml:space="preserve"> </w:t>
      </w:r>
      <w:r>
        <w:t>a</w:t>
      </w:r>
      <w:r w:rsidR="00114A3D">
        <w:t xml:space="preserve"> </w:t>
      </w:r>
      <w:r>
        <w:t>sabbatical</w:t>
      </w:r>
      <w:r w:rsidR="00114A3D">
        <w:t xml:space="preserve"> </w:t>
      </w:r>
      <w:r>
        <w:t>or a</w:t>
      </w:r>
      <w:r w:rsidR="00114A3D">
        <w:t xml:space="preserve"> </w:t>
      </w:r>
      <w:r>
        <w:t>fellowship.</w:t>
      </w:r>
      <w:r w:rsidR="00114A3D">
        <w:t xml:space="preserve"> </w:t>
      </w:r>
      <w:r>
        <w:t>Sabbatical</w:t>
      </w:r>
      <w:r w:rsidR="009D5B57">
        <w:t xml:space="preserve"> </w:t>
      </w:r>
      <w:r>
        <w:t>and</w:t>
      </w:r>
      <w:r w:rsidR="009D5B57">
        <w:t xml:space="preserve"> </w:t>
      </w:r>
      <w:r>
        <w:t>fellowship</w:t>
      </w:r>
      <w:r>
        <w:tab/>
      </w:r>
      <w:r w:rsidR="009D5B57">
        <w:t xml:space="preserve"> </w:t>
      </w:r>
      <w:r>
        <w:t>activities</w:t>
      </w:r>
      <w:r w:rsidR="009D5B57">
        <w:t xml:space="preserve"> </w:t>
      </w:r>
      <w:r>
        <w:t>require</w:t>
      </w:r>
      <w:r w:rsidR="009D5B57">
        <w:t xml:space="preserve"> </w:t>
      </w:r>
      <w:r>
        <w:t>prior</w:t>
      </w:r>
      <w:r w:rsidR="009D5B57">
        <w:t xml:space="preserve"> </w:t>
      </w:r>
      <w:r>
        <w:t>approval</w:t>
      </w:r>
      <w:r>
        <w:tab/>
        <w:t>by</w:t>
      </w:r>
      <w:r w:rsidR="009D5B57">
        <w:t xml:space="preserve"> </w:t>
      </w:r>
      <w:r>
        <w:t>the</w:t>
      </w:r>
      <w:r w:rsidR="009D5B57">
        <w:t xml:space="preserve"> </w:t>
      </w:r>
      <w:r>
        <w:t>college.</w:t>
      </w:r>
      <w:r w:rsidR="009D5B57">
        <w:t xml:space="preserve"> </w:t>
      </w:r>
      <w:r>
        <w:t>See</w:t>
      </w:r>
      <w:r w:rsidR="009D5B57">
        <w:t xml:space="preserve"> </w:t>
      </w:r>
      <w:r>
        <w:t>AC17</w:t>
      </w:r>
      <w:r w:rsidR="009D5B57">
        <w:t xml:space="preserve"> </w:t>
      </w:r>
      <w:r>
        <w:t>(Sabbatical</w:t>
      </w:r>
      <w:r w:rsidR="009D5B57">
        <w:t xml:space="preserve"> </w:t>
      </w:r>
      <w:r>
        <w:t>Leave).</w:t>
      </w:r>
      <w:r w:rsidR="009D5B57">
        <w:t xml:space="preserve"> </w:t>
      </w:r>
    </w:p>
    <w:p w14:paraId="31487DBC" w14:textId="3F23998D" w:rsidR="0017123B" w:rsidRPr="00B14CA7" w:rsidRDefault="00B531CE" w:rsidP="0017123B">
      <w:pPr>
        <w:pStyle w:val="ListParagraph"/>
        <w:numPr>
          <w:ilvl w:val="0"/>
          <w:numId w:val="4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>Faculty e</w:t>
      </w:r>
      <w:r w:rsidR="00C166F2" w:rsidRPr="00B14CA7">
        <w:rPr>
          <w:color w:val="262626" w:themeColor="text1" w:themeTint="D9"/>
        </w:rPr>
        <w:t xml:space="preserve">ngagement in </w:t>
      </w:r>
      <w:r w:rsidR="0017123B" w:rsidRPr="00B14CA7">
        <w:rPr>
          <w:color w:val="262626" w:themeColor="text1" w:themeTint="D9"/>
        </w:rPr>
        <w:t xml:space="preserve">activities that might result in the </w:t>
      </w:r>
      <w:r w:rsidR="00137927" w:rsidRPr="00B14CA7">
        <w:rPr>
          <w:color w:val="262626" w:themeColor="text1" w:themeTint="D9"/>
        </w:rPr>
        <w:t xml:space="preserve">transfer of </w:t>
      </w:r>
      <w:r w:rsidR="0017123B" w:rsidRPr="00B14CA7">
        <w:rPr>
          <w:color w:val="262626" w:themeColor="text1" w:themeTint="D9"/>
        </w:rPr>
        <w:t>intellectual property rights to an</w:t>
      </w:r>
      <w:r w:rsidR="00835C31" w:rsidRPr="00B14CA7">
        <w:rPr>
          <w:color w:val="262626" w:themeColor="text1" w:themeTint="D9"/>
        </w:rPr>
        <w:t xml:space="preserve"> </w:t>
      </w:r>
      <w:r w:rsidR="00137927" w:rsidRPr="00B14CA7">
        <w:rPr>
          <w:color w:val="262626" w:themeColor="text1" w:themeTint="D9"/>
        </w:rPr>
        <w:t>institution other than Penn State</w:t>
      </w:r>
      <w:r w:rsidR="00E454FB" w:rsidRPr="00B14CA7">
        <w:rPr>
          <w:color w:val="262626" w:themeColor="text1" w:themeTint="D9"/>
        </w:rPr>
        <w:t>.</w:t>
      </w:r>
    </w:p>
    <w:p w14:paraId="3FB17D90" w14:textId="33E64B69" w:rsidR="00D7305A" w:rsidRPr="00B14CA7" w:rsidRDefault="00540274" w:rsidP="006F7603">
      <w:pPr>
        <w:pStyle w:val="ListParagraph"/>
        <w:numPr>
          <w:ilvl w:val="0"/>
          <w:numId w:val="4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lastRenderedPageBreak/>
        <w:t>Faculty engagement in r</w:t>
      </w:r>
      <w:r w:rsidR="00C9627E" w:rsidRPr="00B14CA7">
        <w:rPr>
          <w:color w:val="262626" w:themeColor="text1" w:themeTint="D9"/>
        </w:rPr>
        <w:t>esearch</w:t>
      </w:r>
      <w:r w:rsidR="00943381" w:rsidRPr="00B14CA7">
        <w:rPr>
          <w:color w:val="262626" w:themeColor="text1" w:themeTint="D9"/>
        </w:rPr>
        <w:t xml:space="preserve"> for hire or in-</w:t>
      </w:r>
      <w:r w:rsidR="00FE6DB6" w:rsidRPr="00B14CA7">
        <w:rPr>
          <w:color w:val="262626" w:themeColor="text1" w:themeTint="D9"/>
        </w:rPr>
        <w:t>kind,</w:t>
      </w:r>
      <w:r w:rsidR="00E454FB" w:rsidRPr="00B14CA7">
        <w:rPr>
          <w:color w:val="262626" w:themeColor="text1" w:themeTint="D9"/>
        </w:rPr>
        <w:t xml:space="preserve"> </w:t>
      </w:r>
      <w:r w:rsidR="00504D08" w:rsidRPr="00B14CA7">
        <w:rPr>
          <w:color w:val="262626" w:themeColor="text1" w:themeTint="D9"/>
        </w:rPr>
        <w:t xml:space="preserve">whose beneficiaries are either foreign or domestic </w:t>
      </w:r>
      <w:r w:rsidR="00326CD7" w:rsidRPr="00B14CA7">
        <w:rPr>
          <w:color w:val="262626" w:themeColor="text1" w:themeTint="D9"/>
        </w:rPr>
        <w:t>entities</w:t>
      </w:r>
      <w:r w:rsidR="00E454FB" w:rsidRPr="00B14CA7">
        <w:rPr>
          <w:color w:val="262626" w:themeColor="text1" w:themeTint="D9"/>
        </w:rPr>
        <w:t>, without the prior approval of the Penn State’s Office of Sponsored Programs (OSP)</w:t>
      </w:r>
      <w:r w:rsidR="00326CD7" w:rsidRPr="00B14CA7">
        <w:rPr>
          <w:color w:val="262626" w:themeColor="text1" w:themeTint="D9"/>
        </w:rPr>
        <w:t>.</w:t>
      </w:r>
    </w:p>
    <w:p w14:paraId="2EB541BB" w14:textId="0FBF02FF" w:rsidR="0017123B" w:rsidRDefault="00E454FB" w:rsidP="006F7603">
      <w:pPr>
        <w:pStyle w:val="ListParagraph"/>
        <w:numPr>
          <w:ilvl w:val="0"/>
          <w:numId w:val="4"/>
        </w:numPr>
        <w:rPr>
          <w:color w:val="44546A" w:themeColor="text2"/>
        </w:rPr>
      </w:pPr>
      <w:r>
        <w:rPr>
          <w:color w:val="44546A" w:themeColor="text2"/>
        </w:rPr>
        <w:t>Chairing</w:t>
      </w:r>
      <w:r w:rsidR="00872F78" w:rsidRPr="002B5D6D">
        <w:rPr>
          <w:color w:val="44546A" w:themeColor="text2"/>
        </w:rPr>
        <w:t xml:space="preserve"> a doctoral or graduate committee</w:t>
      </w:r>
      <w:r>
        <w:rPr>
          <w:color w:val="44546A" w:themeColor="text2"/>
        </w:rPr>
        <w:t xml:space="preserve"> at another institution.</w:t>
      </w:r>
      <w:r w:rsidR="00326CD7" w:rsidRPr="002B5D6D">
        <w:rPr>
          <w:color w:val="44546A" w:themeColor="text2"/>
        </w:rPr>
        <w:t xml:space="preserve"> </w:t>
      </w:r>
      <w:r w:rsidR="00C9627E" w:rsidRPr="002B5D6D">
        <w:rPr>
          <w:color w:val="44546A" w:themeColor="text2"/>
        </w:rPr>
        <w:t xml:space="preserve"> </w:t>
      </w:r>
    </w:p>
    <w:p w14:paraId="3304B464" w14:textId="77777777" w:rsidR="008C1846" w:rsidRPr="008C1846" w:rsidRDefault="008C1846" w:rsidP="008C1846">
      <w:pPr>
        <w:pStyle w:val="ListParagraph"/>
        <w:numPr>
          <w:ilvl w:val="0"/>
          <w:numId w:val="4"/>
        </w:numPr>
        <w:rPr>
          <w:color w:val="44546A" w:themeColor="text2"/>
        </w:rPr>
      </w:pPr>
      <w:r w:rsidRPr="008C1846">
        <w:rPr>
          <w:color w:val="44546A" w:themeColor="text2"/>
        </w:rPr>
        <w:t xml:space="preserve">Running </w:t>
      </w:r>
      <w:r w:rsidRPr="00B14CA7">
        <w:rPr>
          <w:color w:val="262626" w:themeColor="text1" w:themeTint="D9"/>
        </w:rPr>
        <w:t>or carrying fiduciary responsibility for a research lab</w:t>
      </w:r>
      <w:r w:rsidRPr="003E34EC">
        <w:rPr>
          <w:color w:val="0070C0"/>
        </w:rPr>
        <w:t xml:space="preserve"> </w:t>
      </w:r>
      <w:r w:rsidRPr="008C1846">
        <w:rPr>
          <w:color w:val="44546A" w:themeColor="text2"/>
        </w:rPr>
        <w:t>at another institution</w:t>
      </w:r>
    </w:p>
    <w:p w14:paraId="5E38CB2F" w14:textId="042C400C" w:rsidR="00E12966" w:rsidRPr="00B14CA7" w:rsidRDefault="00594A89" w:rsidP="006F7603">
      <w:pPr>
        <w:pStyle w:val="ListParagraph"/>
        <w:numPr>
          <w:ilvl w:val="0"/>
          <w:numId w:val="4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 xml:space="preserve">Accepting employment </w:t>
      </w:r>
      <w:r w:rsidR="00E7163A" w:rsidRPr="00B14CA7">
        <w:rPr>
          <w:color w:val="262626" w:themeColor="text1" w:themeTint="D9"/>
        </w:rPr>
        <w:t xml:space="preserve">at another institution </w:t>
      </w:r>
      <w:r w:rsidR="00FE5215" w:rsidRPr="00B14CA7">
        <w:rPr>
          <w:color w:val="262626" w:themeColor="text1" w:themeTint="D9"/>
        </w:rPr>
        <w:t>or serving in executive or management positions</w:t>
      </w:r>
      <w:r w:rsidR="004C7C9B" w:rsidRPr="00B14CA7">
        <w:rPr>
          <w:color w:val="262626" w:themeColor="text1" w:themeTint="D9"/>
        </w:rPr>
        <w:t xml:space="preserve"> such as President, Chief Executive </w:t>
      </w:r>
      <w:r w:rsidR="00D70D92" w:rsidRPr="00B14CA7">
        <w:rPr>
          <w:color w:val="262626" w:themeColor="text1" w:themeTint="D9"/>
        </w:rPr>
        <w:t xml:space="preserve">Officer, </w:t>
      </w:r>
      <w:r w:rsidR="00C56282" w:rsidRPr="00B14CA7">
        <w:rPr>
          <w:color w:val="262626" w:themeColor="text1" w:themeTint="D9"/>
        </w:rPr>
        <w:t>advisory or board of director</w:t>
      </w:r>
      <w:r w:rsidR="00765135" w:rsidRPr="00B14CA7">
        <w:rPr>
          <w:color w:val="262626" w:themeColor="text1" w:themeTint="D9"/>
        </w:rPr>
        <w:t xml:space="preserve"> with fiduciary responsibilities</w:t>
      </w:r>
      <w:r w:rsidR="00E454FB" w:rsidRPr="00B14CA7">
        <w:rPr>
          <w:color w:val="262626" w:themeColor="text1" w:themeTint="D9"/>
        </w:rPr>
        <w:t>.</w:t>
      </w:r>
      <w:r w:rsidR="00765135" w:rsidRPr="00B14CA7">
        <w:rPr>
          <w:color w:val="262626" w:themeColor="text1" w:themeTint="D9"/>
        </w:rPr>
        <w:t xml:space="preserve"> </w:t>
      </w:r>
    </w:p>
    <w:p w14:paraId="7D478986" w14:textId="6996AB86" w:rsidR="008C1846" w:rsidRPr="00B14CA7" w:rsidRDefault="00DB1428" w:rsidP="006F7603">
      <w:pPr>
        <w:pStyle w:val="ListParagraph"/>
        <w:numPr>
          <w:ilvl w:val="0"/>
          <w:numId w:val="4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 xml:space="preserve">Accepting </w:t>
      </w:r>
      <w:r w:rsidR="00B90017" w:rsidRPr="00B14CA7">
        <w:rPr>
          <w:color w:val="262626" w:themeColor="text1" w:themeTint="D9"/>
        </w:rPr>
        <w:t>honorary, adjunct, visiting positions</w:t>
      </w:r>
      <w:r w:rsidR="00BF2931" w:rsidRPr="00B14CA7">
        <w:rPr>
          <w:color w:val="262626" w:themeColor="text1" w:themeTint="D9"/>
        </w:rPr>
        <w:t xml:space="preserve"> or </w:t>
      </w:r>
      <w:r w:rsidR="00412303" w:rsidRPr="00B14CA7">
        <w:rPr>
          <w:color w:val="262626" w:themeColor="text1" w:themeTint="D9"/>
        </w:rPr>
        <w:t xml:space="preserve">chaired </w:t>
      </w:r>
      <w:r w:rsidR="00BF2931" w:rsidRPr="00B14CA7">
        <w:rPr>
          <w:color w:val="262626" w:themeColor="text1" w:themeTint="D9"/>
        </w:rPr>
        <w:t>appointment</w:t>
      </w:r>
      <w:r w:rsidR="005A0666" w:rsidRPr="00B14CA7">
        <w:rPr>
          <w:color w:val="262626" w:themeColor="text1" w:themeTint="D9"/>
        </w:rPr>
        <w:t>s</w:t>
      </w:r>
      <w:r w:rsidR="00BF2931" w:rsidRPr="00B14CA7">
        <w:rPr>
          <w:color w:val="262626" w:themeColor="text1" w:themeTint="D9"/>
        </w:rPr>
        <w:t xml:space="preserve"> at another </w:t>
      </w:r>
      <w:r w:rsidR="007A52C6" w:rsidRPr="00B14CA7">
        <w:rPr>
          <w:color w:val="262626" w:themeColor="text1" w:themeTint="D9"/>
        </w:rPr>
        <w:t>university other than Penn State</w:t>
      </w:r>
      <w:r w:rsidR="005A0666" w:rsidRPr="00B14CA7">
        <w:rPr>
          <w:color w:val="262626" w:themeColor="text1" w:themeTint="D9"/>
        </w:rPr>
        <w:t>. It should not matter whether such</w:t>
      </w:r>
      <w:r w:rsidR="00C27301" w:rsidRPr="00B14CA7">
        <w:rPr>
          <w:color w:val="262626" w:themeColor="text1" w:themeTint="D9"/>
        </w:rPr>
        <w:t xml:space="preserve"> positions are </w:t>
      </w:r>
      <w:r w:rsidR="00E05666" w:rsidRPr="00B14CA7">
        <w:rPr>
          <w:color w:val="262626" w:themeColor="text1" w:themeTint="D9"/>
        </w:rPr>
        <w:t xml:space="preserve">full- or part-time, </w:t>
      </w:r>
      <w:r w:rsidR="00476C76" w:rsidRPr="00B14CA7">
        <w:rPr>
          <w:color w:val="262626" w:themeColor="text1" w:themeTint="D9"/>
        </w:rPr>
        <w:t>paid,</w:t>
      </w:r>
      <w:r w:rsidR="00C27301" w:rsidRPr="00B14CA7">
        <w:rPr>
          <w:color w:val="262626" w:themeColor="text1" w:themeTint="D9"/>
        </w:rPr>
        <w:t xml:space="preserve"> or pro bono</w:t>
      </w:r>
      <w:r w:rsidR="007348EC" w:rsidRPr="00B14CA7">
        <w:rPr>
          <w:color w:val="262626" w:themeColor="text1" w:themeTint="D9"/>
        </w:rPr>
        <w:t xml:space="preserve">. </w:t>
      </w:r>
    </w:p>
    <w:p w14:paraId="32219C96" w14:textId="2420EE70" w:rsidR="00116038" w:rsidRDefault="00116038" w:rsidP="00116038">
      <w:r w:rsidRPr="00E967D8">
        <w:rPr>
          <w:b/>
          <w:bCs/>
        </w:rPr>
        <w:t>Examples</w:t>
      </w:r>
      <w:r w:rsidR="009D5B57" w:rsidRPr="00E967D8">
        <w:rPr>
          <w:b/>
          <w:bCs/>
        </w:rPr>
        <w:t xml:space="preserve"> </w:t>
      </w:r>
      <w:r w:rsidRPr="00E967D8">
        <w:rPr>
          <w:b/>
          <w:bCs/>
        </w:rPr>
        <w:t>of</w:t>
      </w:r>
      <w:r w:rsidR="009D5B57" w:rsidRPr="00E967D8">
        <w:rPr>
          <w:b/>
          <w:bCs/>
        </w:rPr>
        <w:t xml:space="preserve"> </w:t>
      </w:r>
      <w:r w:rsidRPr="00E967D8">
        <w:rPr>
          <w:b/>
          <w:bCs/>
        </w:rPr>
        <w:t>activities</w:t>
      </w:r>
      <w:r w:rsidR="004B31B8" w:rsidRPr="00E967D8">
        <w:rPr>
          <w:b/>
          <w:bCs/>
        </w:rPr>
        <w:t xml:space="preserve"> </w:t>
      </w:r>
      <w:r w:rsidRPr="00E967D8">
        <w:rPr>
          <w:b/>
          <w:bCs/>
        </w:rPr>
        <w:t>requiring</w:t>
      </w:r>
      <w:r w:rsidR="004B31B8" w:rsidRPr="00E967D8">
        <w:rPr>
          <w:b/>
          <w:bCs/>
        </w:rPr>
        <w:t xml:space="preserve"> </w:t>
      </w:r>
      <w:r w:rsidRPr="00E967D8">
        <w:rPr>
          <w:b/>
          <w:bCs/>
        </w:rPr>
        <w:t>notification</w:t>
      </w:r>
      <w:r w:rsidRPr="00B14CA7">
        <w:rPr>
          <w:color w:val="262626" w:themeColor="text1" w:themeTint="D9"/>
        </w:rPr>
        <w:t>.</w:t>
      </w:r>
      <w:r w:rsidR="004B31B8" w:rsidRPr="00B14CA7">
        <w:rPr>
          <w:color w:val="262626" w:themeColor="text1" w:themeTint="D9"/>
        </w:rPr>
        <w:t xml:space="preserve"> </w:t>
      </w:r>
      <w:r w:rsidR="00997D1A" w:rsidRPr="00B14CA7">
        <w:rPr>
          <w:color w:val="262626" w:themeColor="text1" w:themeTint="D9"/>
        </w:rPr>
        <w:t>All faculty are required to disclose all Outside Professional Activities, including those for which Prior Approval was required and obtained, at least annually; within 30 days of starting a new Outside Professional Activity; prior to an application for sponsored funding; or in certain instances as identified below, prior to starting the activity</w:t>
      </w:r>
      <w:r w:rsidR="00997D1A" w:rsidRPr="00997D1A">
        <w:t>. Disclosures shall be made according to the procedures developed by the Office for Research Protections.</w:t>
      </w:r>
      <w:r w:rsidR="00EC5ACA">
        <w:t xml:space="preserve"> </w:t>
      </w:r>
      <w:r w:rsidR="00F405F2">
        <w:t xml:space="preserve">Bellisario </w:t>
      </w:r>
      <w:r>
        <w:t>Faculty engaged</w:t>
      </w:r>
      <w:r w:rsidR="004B31B8">
        <w:t xml:space="preserve"> </w:t>
      </w:r>
      <w:r>
        <w:t>in</w:t>
      </w:r>
      <w:r w:rsidR="004B31B8">
        <w:t xml:space="preserve"> </w:t>
      </w:r>
      <w:r>
        <w:t>the</w:t>
      </w:r>
      <w:r w:rsidR="004B31B8">
        <w:t xml:space="preserve"> </w:t>
      </w:r>
      <w:r w:rsidR="001F6266">
        <w:t xml:space="preserve">listed </w:t>
      </w:r>
      <w:r>
        <w:t>activities</w:t>
      </w:r>
      <w:r w:rsidR="004B31B8">
        <w:t xml:space="preserve"> </w:t>
      </w:r>
      <w:r>
        <w:t>are</w:t>
      </w:r>
      <w:r w:rsidR="004B31B8">
        <w:t xml:space="preserve"> </w:t>
      </w:r>
      <w:r>
        <w:t>required</w:t>
      </w:r>
      <w:r w:rsidR="004B31B8">
        <w:t xml:space="preserve"> </w:t>
      </w:r>
      <w:r>
        <w:t>to</w:t>
      </w:r>
      <w:r w:rsidR="00F405F2">
        <w:t xml:space="preserve"> </w:t>
      </w:r>
      <w:r>
        <w:t>notify</w:t>
      </w:r>
      <w:r w:rsidR="00E967D8">
        <w:t xml:space="preserve"> </w:t>
      </w:r>
      <w:r>
        <w:t>in</w:t>
      </w:r>
      <w:r w:rsidR="00E967D8">
        <w:t xml:space="preserve"> </w:t>
      </w:r>
      <w:r>
        <w:t>advance</w:t>
      </w:r>
      <w:r w:rsidR="00E967D8">
        <w:t xml:space="preserve"> </w:t>
      </w:r>
      <w:r>
        <w:t>the</w:t>
      </w:r>
      <w:r w:rsidR="00E967D8">
        <w:t xml:space="preserve"> </w:t>
      </w:r>
      <w:r>
        <w:t>Department</w:t>
      </w:r>
      <w:r w:rsidR="00E967D8">
        <w:t xml:space="preserve"> </w:t>
      </w:r>
      <w:r>
        <w:t>Head and</w:t>
      </w:r>
      <w:r w:rsidR="00E967D8">
        <w:t xml:space="preserve"> </w:t>
      </w:r>
      <w:r>
        <w:t>the</w:t>
      </w:r>
      <w:r w:rsidR="00F405F2">
        <w:t xml:space="preserve"> </w:t>
      </w:r>
      <w:r>
        <w:t>Associate</w:t>
      </w:r>
      <w:r w:rsidR="00E967D8">
        <w:t xml:space="preserve"> </w:t>
      </w:r>
      <w:r>
        <w:t>Dean or</w:t>
      </w:r>
      <w:r w:rsidR="00E967D8">
        <w:t xml:space="preserve"> </w:t>
      </w:r>
      <w:r>
        <w:t>other</w:t>
      </w:r>
      <w:r w:rsidR="00E967D8">
        <w:t xml:space="preserve"> </w:t>
      </w:r>
      <w:r>
        <w:t>designated</w:t>
      </w:r>
      <w:r w:rsidR="00E967D8">
        <w:t xml:space="preserve"> </w:t>
      </w:r>
      <w:r>
        <w:t>Budget</w:t>
      </w:r>
      <w:r w:rsidR="00E967D8">
        <w:t xml:space="preserve"> </w:t>
      </w:r>
      <w:r>
        <w:t>Administrator</w:t>
      </w:r>
      <w:r w:rsidR="00E967D8">
        <w:t xml:space="preserve"> </w:t>
      </w:r>
      <w:r>
        <w:t>and</w:t>
      </w:r>
      <w:r w:rsidR="00E967D8">
        <w:t xml:space="preserve"> </w:t>
      </w:r>
      <w:r>
        <w:t>Budget</w:t>
      </w:r>
      <w:r w:rsidR="00E967D8">
        <w:t xml:space="preserve"> </w:t>
      </w:r>
      <w:r>
        <w:t>Executive:</w:t>
      </w:r>
    </w:p>
    <w:p w14:paraId="7CDD7612" w14:textId="2579F498" w:rsidR="009E0E6B" w:rsidRPr="00B14CA7" w:rsidRDefault="00642CAD" w:rsidP="003812CB">
      <w:pPr>
        <w:pStyle w:val="ListParagraph"/>
        <w:numPr>
          <w:ilvl w:val="0"/>
          <w:numId w:val="5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>O</w:t>
      </w:r>
      <w:r w:rsidR="008E43F1" w:rsidRPr="00B14CA7">
        <w:rPr>
          <w:color w:val="262626" w:themeColor="text1" w:themeTint="D9"/>
        </w:rPr>
        <w:t xml:space="preserve">ffering </w:t>
      </w:r>
      <w:r w:rsidR="009E0E6B" w:rsidRPr="00B14CA7">
        <w:rPr>
          <w:color w:val="262626" w:themeColor="text1" w:themeTint="D9"/>
        </w:rPr>
        <w:t>short course</w:t>
      </w:r>
      <w:r w:rsidR="008E43F1" w:rsidRPr="00B14CA7">
        <w:rPr>
          <w:color w:val="262626" w:themeColor="text1" w:themeTint="D9"/>
        </w:rPr>
        <w:t>s</w:t>
      </w:r>
      <w:r w:rsidR="009E0E6B" w:rsidRPr="00B14CA7">
        <w:rPr>
          <w:color w:val="262626" w:themeColor="text1" w:themeTint="D9"/>
        </w:rPr>
        <w:t xml:space="preserve"> </w:t>
      </w:r>
      <w:r w:rsidR="000108FC" w:rsidRPr="00B14CA7">
        <w:rPr>
          <w:color w:val="262626" w:themeColor="text1" w:themeTint="D9"/>
        </w:rPr>
        <w:t xml:space="preserve">without </w:t>
      </w:r>
      <w:r w:rsidR="009E0E6B" w:rsidRPr="00B14CA7">
        <w:rPr>
          <w:color w:val="262626" w:themeColor="text1" w:themeTint="D9"/>
        </w:rPr>
        <w:t>academic credit</w:t>
      </w:r>
      <w:r w:rsidR="00774F84" w:rsidRPr="00B14CA7">
        <w:rPr>
          <w:color w:val="262626" w:themeColor="text1" w:themeTint="D9"/>
        </w:rPr>
        <w:t xml:space="preserve"> at another institution</w:t>
      </w:r>
      <w:r w:rsidR="009E0E6B" w:rsidRPr="00B14CA7">
        <w:rPr>
          <w:color w:val="262626" w:themeColor="text1" w:themeTint="D9"/>
        </w:rPr>
        <w:t xml:space="preserve">, including </w:t>
      </w:r>
      <w:r w:rsidR="000108FC" w:rsidRPr="00B14CA7">
        <w:rPr>
          <w:color w:val="262626" w:themeColor="text1" w:themeTint="D9"/>
        </w:rPr>
        <w:t xml:space="preserve">such </w:t>
      </w:r>
      <w:r w:rsidR="009E0E6B" w:rsidRPr="00B14CA7">
        <w:rPr>
          <w:color w:val="262626" w:themeColor="text1" w:themeTint="D9"/>
        </w:rPr>
        <w:t xml:space="preserve">professional courses </w:t>
      </w:r>
      <w:r w:rsidR="000108FC" w:rsidRPr="00B14CA7">
        <w:rPr>
          <w:color w:val="262626" w:themeColor="text1" w:themeTint="D9"/>
        </w:rPr>
        <w:t xml:space="preserve">that are needed </w:t>
      </w:r>
      <w:r w:rsidR="009E0E6B" w:rsidRPr="00B14CA7">
        <w:rPr>
          <w:color w:val="262626" w:themeColor="text1" w:themeTint="D9"/>
        </w:rPr>
        <w:t>for licensin</w:t>
      </w:r>
      <w:r w:rsidR="00103602" w:rsidRPr="00B14CA7">
        <w:rPr>
          <w:color w:val="262626" w:themeColor="text1" w:themeTint="D9"/>
        </w:rPr>
        <w:t xml:space="preserve">g </w:t>
      </w:r>
      <w:r w:rsidR="00CE039D" w:rsidRPr="00B14CA7">
        <w:rPr>
          <w:color w:val="262626" w:themeColor="text1" w:themeTint="D9"/>
        </w:rPr>
        <w:t xml:space="preserve">and </w:t>
      </w:r>
      <w:r w:rsidR="00103602" w:rsidRPr="00B14CA7">
        <w:rPr>
          <w:color w:val="262626" w:themeColor="text1" w:themeTint="D9"/>
        </w:rPr>
        <w:t>wh</w:t>
      </w:r>
      <w:r w:rsidR="00CE039D" w:rsidRPr="00B14CA7">
        <w:rPr>
          <w:color w:val="262626" w:themeColor="text1" w:themeTint="D9"/>
        </w:rPr>
        <w:t>ose content may overlap with simila</w:t>
      </w:r>
      <w:r w:rsidR="0062422C" w:rsidRPr="00B14CA7">
        <w:rPr>
          <w:color w:val="262626" w:themeColor="text1" w:themeTint="D9"/>
        </w:rPr>
        <w:t>r courses offered at Penn State</w:t>
      </w:r>
      <w:r w:rsidR="00774F84" w:rsidRPr="00B14CA7">
        <w:rPr>
          <w:color w:val="262626" w:themeColor="text1" w:themeTint="D9"/>
        </w:rPr>
        <w:t xml:space="preserve"> </w:t>
      </w:r>
    </w:p>
    <w:p w14:paraId="5B9A8AA2" w14:textId="62E98FF2" w:rsidR="00994A1C" w:rsidRDefault="00116038" w:rsidP="00B80BF8">
      <w:pPr>
        <w:pStyle w:val="ListParagraph"/>
        <w:numPr>
          <w:ilvl w:val="0"/>
          <w:numId w:val="5"/>
        </w:numPr>
      </w:pPr>
      <w:r>
        <w:t>Holding</w:t>
      </w:r>
      <w:r w:rsidR="00D72DF9">
        <w:t xml:space="preserve"> </w:t>
      </w:r>
      <w:r>
        <w:t>an</w:t>
      </w:r>
      <w:r w:rsidR="00D72DF9">
        <w:t xml:space="preserve"> </w:t>
      </w:r>
      <w:r>
        <w:t>honorary</w:t>
      </w:r>
      <w:r w:rsidR="00D72DF9">
        <w:t xml:space="preserve"> </w:t>
      </w:r>
      <w:r>
        <w:t>chair at</w:t>
      </w:r>
      <w:r w:rsidR="00D72DF9">
        <w:t xml:space="preserve"> </w:t>
      </w:r>
      <w:r>
        <w:t>another</w:t>
      </w:r>
      <w:r w:rsidR="00195D05">
        <w:t xml:space="preserve"> </w:t>
      </w:r>
      <w:r>
        <w:t>institution</w:t>
      </w:r>
    </w:p>
    <w:p w14:paraId="237DD6A1" w14:textId="7475BDF8" w:rsidR="00FD7355" w:rsidRPr="00B14CA7" w:rsidRDefault="00B80BF8" w:rsidP="00B80BF8">
      <w:pPr>
        <w:pStyle w:val="ListParagraph"/>
        <w:numPr>
          <w:ilvl w:val="0"/>
          <w:numId w:val="5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 xml:space="preserve">Engagement in </w:t>
      </w:r>
      <w:r w:rsidR="00566B7B" w:rsidRPr="00B14CA7">
        <w:rPr>
          <w:color w:val="262626" w:themeColor="text1" w:themeTint="D9"/>
        </w:rPr>
        <w:t>p</w:t>
      </w:r>
      <w:r w:rsidR="00FD7355" w:rsidRPr="00B14CA7">
        <w:rPr>
          <w:color w:val="262626" w:themeColor="text1" w:themeTint="D9"/>
        </w:rPr>
        <w:t>rivate Consulting that does not involve Research</w:t>
      </w:r>
    </w:p>
    <w:p w14:paraId="68A5E7C5" w14:textId="5C98D92A" w:rsidR="00642CAD" w:rsidRPr="00B14CA7" w:rsidRDefault="0040427A" w:rsidP="0040427A">
      <w:pPr>
        <w:pStyle w:val="ListParagraph"/>
        <w:numPr>
          <w:ilvl w:val="0"/>
          <w:numId w:val="5"/>
        </w:numPr>
        <w:rPr>
          <w:color w:val="262626" w:themeColor="text1" w:themeTint="D9"/>
        </w:rPr>
      </w:pPr>
      <w:r w:rsidRPr="00B14CA7">
        <w:rPr>
          <w:color w:val="262626" w:themeColor="text1" w:themeTint="D9"/>
        </w:rPr>
        <w:t xml:space="preserve">Practicing a profession that requires licensing (e.g., working as an attorney) and committing hours toward or beyond what is required for licensure. </w:t>
      </w:r>
    </w:p>
    <w:p w14:paraId="61B8C1CF" w14:textId="33683AAD" w:rsidR="00116038" w:rsidRDefault="00116038" w:rsidP="00BC0EF0">
      <w:r w:rsidRPr="00642CAD">
        <w:rPr>
          <w:b/>
          <w:bCs/>
        </w:rPr>
        <w:t>Examples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of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activities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requiring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neither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notification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nor</w:t>
      </w:r>
      <w:r w:rsidR="00EC7F42" w:rsidRPr="00642CAD">
        <w:rPr>
          <w:b/>
          <w:bCs/>
        </w:rPr>
        <w:t xml:space="preserve"> </w:t>
      </w:r>
      <w:r w:rsidRPr="00642CAD">
        <w:rPr>
          <w:b/>
          <w:bCs/>
        </w:rPr>
        <w:t>approval</w:t>
      </w:r>
      <w:r>
        <w:t>. Faculty</w:t>
      </w:r>
      <w:r w:rsidR="00EC7F42">
        <w:t xml:space="preserve"> </w:t>
      </w:r>
      <w:r>
        <w:t>engaged</w:t>
      </w:r>
      <w:r w:rsidR="00EC7F42">
        <w:t xml:space="preserve"> </w:t>
      </w:r>
      <w:r>
        <w:t>in</w:t>
      </w:r>
      <w:r w:rsidR="00EC7F42">
        <w:t xml:space="preserve"> </w:t>
      </w:r>
      <w:r>
        <w:t>the</w:t>
      </w:r>
      <w:r w:rsidR="00624FB7">
        <w:t xml:space="preserve"> </w:t>
      </w:r>
      <w:r>
        <w:t>following</w:t>
      </w:r>
      <w:r>
        <w:tab/>
      </w:r>
      <w:r w:rsidR="00624FB7">
        <w:t xml:space="preserve"> </w:t>
      </w:r>
      <w:r>
        <w:t>activities</w:t>
      </w:r>
      <w:r w:rsidR="00624FB7">
        <w:t xml:space="preserve"> </w:t>
      </w:r>
      <w:r>
        <w:t>do</w:t>
      </w:r>
      <w:r w:rsidR="00624FB7">
        <w:t xml:space="preserve"> </w:t>
      </w:r>
      <w:r>
        <w:t>not</w:t>
      </w:r>
      <w:r w:rsidR="00624FB7">
        <w:t xml:space="preserve"> </w:t>
      </w:r>
      <w:r>
        <w:t>require</w:t>
      </w:r>
      <w:r>
        <w:tab/>
        <w:t>notification or</w:t>
      </w:r>
      <w:r w:rsidR="00AD0830">
        <w:t xml:space="preserve"> </w:t>
      </w:r>
      <w:r>
        <w:t>approval of</w:t>
      </w:r>
      <w:r w:rsidR="00AD0830">
        <w:t xml:space="preserve"> </w:t>
      </w:r>
      <w:r>
        <w:t>the</w:t>
      </w:r>
      <w:r w:rsidR="00AD0830">
        <w:t xml:space="preserve"> </w:t>
      </w:r>
      <w:r>
        <w:t>Department</w:t>
      </w:r>
      <w:r w:rsidR="00AD0830">
        <w:t xml:space="preserve"> </w:t>
      </w:r>
      <w:r>
        <w:t>Head,</w:t>
      </w:r>
      <w:r w:rsidR="00AD0830">
        <w:t xml:space="preserve"> </w:t>
      </w:r>
      <w:r>
        <w:t>Associate</w:t>
      </w:r>
      <w:r w:rsidR="00AD0830">
        <w:t xml:space="preserve"> </w:t>
      </w:r>
      <w:r>
        <w:t>Dean,</w:t>
      </w:r>
      <w:r w:rsidR="00AD0830">
        <w:t xml:space="preserve"> </w:t>
      </w:r>
      <w:r>
        <w:t>the</w:t>
      </w:r>
      <w:r w:rsidR="00AD0830">
        <w:t xml:space="preserve"> </w:t>
      </w:r>
      <w:r>
        <w:t>Budget</w:t>
      </w:r>
      <w:r w:rsidR="00AD0830">
        <w:t xml:space="preserve"> </w:t>
      </w:r>
      <w:r>
        <w:t>Administrator nor</w:t>
      </w:r>
      <w:r w:rsidR="00AD0830">
        <w:t xml:space="preserve"> </w:t>
      </w:r>
      <w:r>
        <w:t>Budget</w:t>
      </w:r>
      <w:r w:rsidR="00AD0830">
        <w:t xml:space="preserve"> </w:t>
      </w:r>
      <w:r>
        <w:t>Executive:</w:t>
      </w:r>
      <w:r>
        <w:tab/>
      </w:r>
    </w:p>
    <w:p w14:paraId="07F003AF" w14:textId="3C44DAB8" w:rsidR="00116038" w:rsidRDefault="00116038" w:rsidP="00FA0178">
      <w:pPr>
        <w:ind w:firstLine="720"/>
      </w:pPr>
      <w:r>
        <w:t>• Serving</w:t>
      </w:r>
      <w:r w:rsidR="00916621">
        <w:t xml:space="preserve"> </w:t>
      </w:r>
      <w:r>
        <w:t>on</w:t>
      </w:r>
      <w:r w:rsidR="00916621">
        <w:t xml:space="preserve"> </w:t>
      </w:r>
      <w:r>
        <w:t>a</w:t>
      </w:r>
      <w:r w:rsidR="00916621">
        <w:t xml:space="preserve"> </w:t>
      </w:r>
      <w:r w:rsidR="00B06237">
        <w:t>master’s</w:t>
      </w:r>
      <w:r>
        <w:tab/>
        <w:t>or</w:t>
      </w:r>
      <w:r w:rsidR="00916621">
        <w:t xml:space="preserve"> </w:t>
      </w:r>
      <w:r>
        <w:t>Doctoral</w:t>
      </w:r>
      <w:r w:rsidR="00916621">
        <w:t xml:space="preserve"> </w:t>
      </w:r>
      <w:r>
        <w:t>committee</w:t>
      </w:r>
      <w:r w:rsidR="00916621">
        <w:t xml:space="preserve"> </w:t>
      </w:r>
      <w:r>
        <w:t>at</w:t>
      </w:r>
      <w:r w:rsidR="00916621">
        <w:t xml:space="preserve"> </w:t>
      </w:r>
      <w:r>
        <w:t>another</w:t>
      </w:r>
      <w:r w:rsidR="00916621">
        <w:t xml:space="preserve"> </w:t>
      </w:r>
      <w:r>
        <w:t>institution</w:t>
      </w:r>
    </w:p>
    <w:p w14:paraId="7F6AEC79" w14:textId="4BB1549C" w:rsidR="00116038" w:rsidRDefault="00116038" w:rsidP="00BC0EF0">
      <w:pPr>
        <w:ind w:left="720"/>
      </w:pPr>
      <w:r>
        <w:t>• Teaching</w:t>
      </w:r>
      <w:r w:rsidR="009D175F">
        <w:t xml:space="preserve"> </w:t>
      </w:r>
      <w:r w:rsidR="00A77E9A">
        <w:t xml:space="preserve">that is </w:t>
      </w:r>
      <w:r>
        <w:t>not</w:t>
      </w:r>
      <w:r w:rsidR="009D175F">
        <w:t xml:space="preserve"> </w:t>
      </w:r>
      <w:r>
        <w:t>in</w:t>
      </w:r>
      <w:r w:rsidR="009D175F">
        <w:t xml:space="preserve"> </w:t>
      </w:r>
      <w:r>
        <w:t>the</w:t>
      </w:r>
      <w:r w:rsidR="009D175F">
        <w:t xml:space="preserve"> </w:t>
      </w:r>
      <w:r>
        <w:t>faculty</w:t>
      </w:r>
      <w:r w:rsidR="009D175F">
        <w:t xml:space="preserve"> </w:t>
      </w:r>
      <w:r>
        <w:t>member’s</w:t>
      </w:r>
      <w:r w:rsidR="009D175F">
        <w:t xml:space="preserve"> </w:t>
      </w:r>
      <w:r>
        <w:t>area</w:t>
      </w:r>
      <w:r w:rsidR="009D175F">
        <w:t xml:space="preserve"> </w:t>
      </w:r>
      <w:r>
        <w:t>of</w:t>
      </w:r>
      <w:r w:rsidR="009D175F">
        <w:t xml:space="preserve"> </w:t>
      </w:r>
      <w:r>
        <w:t>expertise</w:t>
      </w:r>
      <w:r w:rsidR="009D175F">
        <w:t xml:space="preserve"> </w:t>
      </w:r>
      <w:r w:rsidR="00EC39EA">
        <w:t xml:space="preserve">that was subject </w:t>
      </w:r>
      <w:r>
        <w:t>of</w:t>
      </w:r>
      <w:r w:rsidR="00A77E9A">
        <w:t xml:space="preserve"> </w:t>
      </w:r>
      <w:r>
        <w:t>their</w:t>
      </w:r>
      <w:r w:rsidR="00BC0EF0">
        <w:t xml:space="preserve"> </w:t>
      </w:r>
      <w:r>
        <w:t>appointment</w:t>
      </w:r>
      <w:r w:rsidR="00EC39EA">
        <w:t xml:space="preserve"> </w:t>
      </w:r>
      <w:r>
        <w:t>a</w:t>
      </w:r>
      <w:r w:rsidR="00EC39EA">
        <w:t>nd contrac</w:t>
      </w:r>
      <w:r>
        <w:t>t</w:t>
      </w:r>
      <w:r w:rsidR="00EC39EA">
        <w:t xml:space="preserve"> with </w:t>
      </w:r>
      <w:r>
        <w:t>Penn</w:t>
      </w:r>
      <w:r w:rsidR="00EC39EA">
        <w:t xml:space="preserve"> </w:t>
      </w:r>
      <w:r>
        <w:t>State</w:t>
      </w:r>
    </w:p>
    <w:p w14:paraId="25300A8A" w14:textId="2A11BBFD" w:rsidR="00116038" w:rsidRDefault="00116038" w:rsidP="00BC0EF0">
      <w:pPr>
        <w:ind w:firstLine="720"/>
      </w:pPr>
      <w:r>
        <w:t>• Teaching at</w:t>
      </w:r>
      <w:r w:rsidR="00213612">
        <w:t xml:space="preserve"> </w:t>
      </w:r>
      <w:r>
        <w:t>another</w:t>
      </w:r>
      <w:r w:rsidR="00213612">
        <w:t xml:space="preserve"> </w:t>
      </w:r>
      <w:r>
        <w:t>institution by</w:t>
      </w:r>
      <w:r w:rsidR="00213612">
        <w:t xml:space="preserve"> </w:t>
      </w:r>
      <w:r w:rsidR="008E1484">
        <w:t>adjunct fa</w:t>
      </w:r>
      <w:r>
        <w:t>culty</w:t>
      </w:r>
    </w:p>
    <w:p w14:paraId="3F1108A1" w14:textId="77EDA07C" w:rsidR="00116038" w:rsidRPr="00381C82" w:rsidRDefault="00116038" w:rsidP="00116038">
      <w:pPr>
        <w:rPr>
          <w:b/>
          <w:bCs/>
        </w:rPr>
      </w:pPr>
      <w:r w:rsidRPr="00381C82">
        <w:rPr>
          <w:b/>
          <w:bCs/>
        </w:rPr>
        <w:t>Related</w:t>
      </w:r>
      <w:r w:rsidRPr="00381C82">
        <w:rPr>
          <w:b/>
          <w:bCs/>
        </w:rPr>
        <w:tab/>
        <w:t>Policies:</w:t>
      </w:r>
    </w:p>
    <w:p w14:paraId="0B84E0AF" w14:textId="518A38F6" w:rsidR="00116038" w:rsidRDefault="00000000" w:rsidP="00116038">
      <w:hyperlink r:id="rId10" w:history="1">
        <w:r w:rsidR="000E6E80" w:rsidRPr="00E2184F">
          <w:rPr>
            <w:rStyle w:val="Hyperlink"/>
          </w:rPr>
          <w:t>AC80 Faculty Outside Professional Activities and Conflict of Commitment (Formerly HR80)</w:t>
        </w:r>
      </w:hyperlink>
      <w:r w:rsidR="000E6E80">
        <w:t xml:space="preserve"> </w:t>
      </w:r>
    </w:p>
    <w:p w14:paraId="03AC4509" w14:textId="64FC4C88" w:rsidR="00116038" w:rsidRDefault="00000000" w:rsidP="00116038">
      <w:pPr>
        <w:rPr>
          <w:color w:val="FF0000"/>
        </w:rPr>
      </w:pPr>
      <w:hyperlink r:id="rId11" w:history="1">
        <w:r w:rsidR="00116038" w:rsidRPr="00E2184F">
          <w:rPr>
            <w:rStyle w:val="Hyperlink"/>
          </w:rPr>
          <w:t>AC64</w:t>
        </w:r>
        <w:r w:rsidR="00AB55D5" w:rsidRPr="00E2184F">
          <w:rPr>
            <w:rStyle w:val="Hyperlink"/>
          </w:rPr>
          <w:t xml:space="preserve"> </w:t>
        </w:r>
        <w:r w:rsidR="00116038" w:rsidRPr="00E2184F">
          <w:rPr>
            <w:rStyle w:val="Hyperlink"/>
          </w:rPr>
          <w:t>Academic</w:t>
        </w:r>
        <w:r w:rsidR="00116038" w:rsidRPr="00E2184F">
          <w:rPr>
            <w:rStyle w:val="Hyperlink"/>
          </w:rPr>
          <w:tab/>
          <w:t>Freedom</w:t>
        </w:r>
        <w:r w:rsidR="000E6E80" w:rsidRPr="00E2184F">
          <w:rPr>
            <w:rStyle w:val="Hyperlink"/>
          </w:rPr>
          <w:t xml:space="preserve"> </w:t>
        </w:r>
      </w:hyperlink>
      <w:r w:rsidR="00E2184F">
        <w:rPr>
          <w:color w:val="FF0000"/>
        </w:rPr>
        <w:t xml:space="preserve"> </w:t>
      </w:r>
    </w:p>
    <w:p w14:paraId="36AC0DAF" w14:textId="7D892E78" w:rsidR="00F624A0" w:rsidRDefault="00000000" w:rsidP="00116038">
      <w:hyperlink r:id="rId12" w:history="1">
        <w:r w:rsidR="00F624A0" w:rsidRPr="00E2184F">
          <w:rPr>
            <w:rStyle w:val="Hyperlink"/>
          </w:rPr>
          <w:t>AC 17</w:t>
        </w:r>
        <w:r w:rsidR="00DF3BB1" w:rsidRPr="00E2184F">
          <w:rPr>
            <w:rStyle w:val="Hyperlink"/>
          </w:rPr>
          <w:t xml:space="preserve"> Sabbatical Leave </w:t>
        </w:r>
      </w:hyperlink>
      <w:r w:rsidR="00E2184F">
        <w:rPr>
          <w:color w:val="FF0000"/>
        </w:rPr>
        <w:t xml:space="preserve"> </w:t>
      </w:r>
    </w:p>
    <w:p w14:paraId="59915965" w14:textId="0993C026" w:rsidR="00116038" w:rsidRPr="00381C82" w:rsidRDefault="00AB55D5" w:rsidP="00116038">
      <w:pPr>
        <w:rPr>
          <w:b/>
          <w:bCs/>
        </w:rPr>
      </w:pPr>
      <w:r w:rsidRPr="00381C82">
        <w:rPr>
          <w:b/>
          <w:bCs/>
        </w:rPr>
        <w:t xml:space="preserve">Revised </w:t>
      </w:r>
      <w:r w:rsidR="00113C0F">
        <w:rPr>
          <w:b/>
          <w:bCs/>
        </w:rPr>
        <w:t>April 2023</w:t>
      </w:r>
    </w:p>
    <w:sectPr w:rsidR="00116038" w:rsidRPr="00381C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A0CA" w14:textId="77777777" w:rsidR="00752CE1" w:rsidRDefault="00752CE1" w:rsidP="00F36D6A">
      <w:pPr>
        <w:spacing w:after="0" w:line="240" w:lineRule="auto"/>
      </w:pPr>
      <w:r>
        <w:separator/>
      </w:r>
    </w:p>
  </w:endnote>
  <w:endnote w:type="continuationSeparator" w:id="0">
    <w:p w14:paraId="1BCB3A27" w14:textId="77777777" w:rsidR="00752CE1" w:rsidRDefault="00752CE1" w:rsidP="00F3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3238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20B472" w14:textId="1DEB9331" w:rsidR="00F36D6A" w:rsidRDefault="00F36D6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0C558" w14:textId="77777777" w:rsidR="00F36D6A" w:rsidRDefault="00F3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D8E9" w14:textId="77777777" w:rsidR="00752CE1" w:rsidRDefault="00752CE1" w:rsidP="00F36D6A">
      <w:pPr>
        <w:spacing w:after="0" w:line="240" w:lineRule="auto"/>
      </w:pPr>
      <w:r>
        <w:separator/>
      </w:r>
    </w:p>
  </w:footnote>
  <w:footnote w:type="continuationSeparator" w:id="0">
    <w:p w14:paraId="1E336596" w14:textId="77777777" w:rsidR="00752CE1" w:rsidRDefault="00752CE1" w:rsidP="00F3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4F70"/>
    <w:multiLevelType w:val="hybridMultilevel"/>
    <w:tmpl w:val="9756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C1635"/>
    <w:multiLevelType w:val="hybridMultilevel"/>
    <w:tmpl w:val="3A0E8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D72B23"/>
    <w:multiLevelType w:val="hybridMultilevel"/>
    <w:tmpl w:val="C6206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3E906A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4F67EA"/>
    <w:multiLevelType w:val="hybridMultilevel"/>
    <w:tmpl w:val="A5C05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77337"/>
    <w:multiLevelType w:val="hybridMultilevel"/>
    <w:tmpl w:val="C5D0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59857">
    <w:abstractNumId w:val="3"/>
  </w:num>
  <w:num w:numId="2" w16cid:durableId="908153869">
    <w:abstractNumId w:val="1"/>
  </w:num>
  <w:num w:numId="3" w16cid:durableId="141700163">
    <w:abstractNumId w:val="2"/>
  </w:num>
  <w:num w:numId="4" w16cid:durableId="788936633">
    <w:abstractNumId w:val="4"/>
  </w:num>
  <w:num w:numId="5" w16cid:durableId="104386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7"/>
    <w:rsid w:val="000108FC"/>
    <w:rsid w:val="00030C01"/>
    <w:rsid w:val="00033100"/>
    <w:rsid w:val="00042DC4"/>
    <w:rsid w:val="00042FF4"/>
    <w:rsid w:val="000602DE"/>
    <w:rsid w:val="000A624F"/>
    <w:rsid w:val="000B281C"/>
    <w:rsid w:val="000C039E"/>
    <w:rsid w:val="000D2623"/>
    <w:rsid w:val="000E2C26"/>
    <w:rsid w:val="000E6E80"/>
    <w:rsid w:val="00103602"/>
    <w:rsid w:val="00104898"/>
    <w:rsid w:val="0011246B"/>
    <w:rsid w:val="00113C0F"/>
    <w:rsid w:val="00114A3D"/>
    <w:rsid w:val="00116038"/>
    <w:rsid w:val="00137927"/>
    <w:rsid w:val="0017123B"/>
    <w:rsid w:val="0019303F"/>
    <w:rsid w:val="00195D05"/>
    <w:rsid w:val="001B14C5"/>
    <w:rsid w:val="001B54FA"/>
    <w:rsid w:val="001C739C"/>
    <w:rsid w:val="001F6266"/>
    <w:rsid w:val="00213612"/>
    <w:rsid w:val="002200E8"/>
    <w:rsid w:val="002B5D6D"/>
    <w:rsid w:val="002E7877"/>
    <w:rsid w:val="00326CD7"/>
    <w:rsid w:val="00351607"/>
    <w:rsid w:val="00354D46"/>
    <w:rsid w:val="003668FB"/>
    <w:rsid w:val="003812CB"/>
    <w:rsid w:val="00381C82"/>
    <w:rsid w:val="00385AA4"/>
    <w:rsid w:val="003913A6"/>
    <w:rsid w:val="00393515"/>
    <w:rsid w:val="003C708B"/>
    <w:rsid w:val="003E34EC"/>
    <w:rsid w:val="0040427A"/>
    <w:rsid w:val="00412303"/>
    <w:rsid w:val="00476C76"/>
    <w:rsid w:val="004B31B8"/>
    <w:rsid w:val="004B5E88"/>
    <w:rsid w:val="004C7C9B"/>
    <w:rsid w:val="004D08A4"/>
    <w:rsid w:val="004D354B"/>
    <w:rsid w:val="00500FB5"/>
    <w:rsid w:val="00504D08"/>
    <w:rsid w:val="00540274"/>
    <w:rsid w:val="005550EB"/>
    <w:rsid w:val="00555970"/>
    <w:rsid w:val="00566B7B"/>
    <w:rsid w:val="00570B12"/>
    <w:rsid w:val="00594A89"/>
    <w:rsid w:val="005A0666"/>
    <w:rsid w:val="005B380D"/>
    <w:rsid w:val="005E6555"/>
    <w:rsid w:val="006065B3"/>
    <w:rsid w:val="00622D4F"/>
    <w:rsid w:val="0062422C"/>
    <w:rsid w:val="00624FB7"/>
    <w:rsid w:val="00632F27"/>
    <w:rsid w:val="00642CAD"/>
    <w:rsid w:val="00663CFF"/>
    <w:rsid w:val="00682DC8"/>
    <w:rsid w:val="006A057E"/>
    <w:rsid w:val="006B6BF6"/>
    <w:rsid w:val="006F7603"/>
    <w:rsid w:val="0072613D"/>
    <w:rsid w:val="007348EC"/>
    <w:rsid w:val="00752CE1"/>
    <w:rsid w:val="0076460E"/>
    <w:rsid w:val="00765135"/>
    <w:rsid w:val="00774F84"/>
    <w:rsid w:val="00795026"/>
    <w:rsid w:val="007A52C6"/>
    <w:rsid w:val="00835C31"/>
    <w:rsid w:val="008443EC"/>
    <w:rsid w:val="0086028C"/>
    <w:rsid w:val="00865D99"/>
    <w:rsid w:val="00872F78"/>
    <w:rsid w:val="008C1846"/>
    <w:rsid w:val="008E1484"/>
    <w:rsid w:val="008E43F1"/>
    <w:rsid w:val="00900130"/>
    <w:rsid w:val="00916621"/>
    <w:rsid w:val="00940B21"/>
    <w:rsid w:val="00943354"/>
    <w:rsid w:val="00943381"/>
    <w:rsid w:val="0098421E"/>
    <w:rsid w:val="00994A1C"/>
    <w:rsid w:val="009963C5"/>
    <w:rsid w:val="00997D1A"/>
    <w:rsid w:val="009D175F"/>
    <w:rsid w:val="009D57EE"/>
    <w:rsid w:val="009D5B57"/>
    <w:rsid w:val="009E0E6B"/>
    <w:rsid w:val="009E0EB7"/>
    <w:rsid w:val="009F3509"/>
    <w:rsid w:val="00A1184C"/>
    <w:rsid w:val="00A77E9A"/>
    <w:rsid w:val="00AB55D5"/>
    <w:rsid w:val="00AD0830"/>
    <w:rsid w:val="00AD43DA"/>
    <w:rsid w:val="00AE6263"/>
    <w:rsid w:val="00AF01F6"/>
    <w:rsid w:val="00B06237"/>
    <w:rsid w:val="00B13CF9"/>
    <w:rsid w:val="00B14CA7"/>
    <w:rsid w:val="00B178E3"/>
    <w:rsid w:val="00B531CE"/>
    <w:rsid w:val="00B80BF8"/>
    <w:rsid w:val="00B90017"/>
    <w:rsid w:val="00B92A5B"/>
    <w:rsid w:val="00B96DA7"/>
    <w:rsid w:val="00BB14A8"/>
    <w:rsid w:val="00BC0EF0"/>
    <w:rsid w:val="00BF2931"/>
    <w:rsid w:val="00BF2C4A"/>
    <w:rsid w:val="00BF4841"/>
    <w:rsid w:val="00C166F2"/>
    <w:rsid w:val="00C27301"/>
    <w:rsid w:val="00C56282"/>
    <w:rsid w:val="00C57B7B"/>
    <w:rsid w:val="00C83203"/>
    <w:rsid w:val="00C8685A"/>
    <w:rsid w:val="00C94D5F"/>
    <w:rsid w:val="00C9627E"/>
    <w:rsid w:val="00CA1ED6"/>
    <w:rsid w:val="00CC3147"/>
    <w:rsid w:val="00CD0F9E"/>
    <w:rsid w:val="00CE039D"/>
    <w:rsid w:val="00CE77B4"/>
    <w:rsid w:val="00CE7A4C"/>
    <w:rsid w:val="00CF038A"/>
    <w:rsid w:val="00D404F2"/>
    <w:rsid w:val="00D61921"/>
    <w:rsid w:val="00D70D92"/>
    <w:rsid w:val="00D72DF9"/>
    <w:rsid w:val="00D7305A"/>
    <w:rsid w:val="00D73B4F"/>
    <w:rsid w:val="00D81210"/>
    <w:rsid w:val="00DB1428"/>
    <w:rsid w:val="00DB5DF9"/>
    <w:rsid w:val="00DE7B7C"/>
    <w:rsid w:val="00DF3716"/>
    <w:rsid w:val="00DF3BB1"/>
    <w:rsid w:val="00E05666"/>
    <w:rsid w:val="00E103E8"/>
    <w:rsid w:val="00E12966"/>
    <w:rsid w:val="00E2184F"/>
    <w:rsid w:val="00E23423"/>
    <w:rsid w:val="00E454FB"/>
    <w:rsid w:val="00E538FE"/>
    <w:rsid w:val="00E7163A"/>
    <w:rsid w:val="00E72F2D"/>
    <w:rsid w:val="00E75958"/>
    <w:rsid w:val="00E92EA9"/>
    <w:rsid w:val="00E967D8"/>
    <w:rsid w:val="00EC39EA"/>
    <w:rsid w:val="00EC5ACA"/>
    <w:rsid w:val="00EC7F42"/>
    <w:rsid w:val="00ED0C14"/>
    <w:rsid w:val="00ED54C9"/>
    <w:rsid w:val="00EF38AD"/>
    <w:rsid w:val="00F36D6A"/>
    <w:rsid w:val="00F405F2"/>
    <w:rsid w:val="00F624A0"/>
    <w:rsid w:val="00F848F6"/>
    <w:rsid w:val="00FA0178"/>
    <w:rsid w:val="00FB4982"/>
    <w:rsid w:val="00FD7355"/>
    <w:rsid w:val="00FE5215"/>
    <w:rsid w:val="00FE6DB6"/>
    <w:rsid w:val="21A2EE03"/>
    <w:rsid w:val="486ACB49"/>
    <w:rsid w:val="6044D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9472"/>
  <w15:chartTrackingRefBased/>
  <w15:docId w15:val="{BEC8E6BC-EBC7-4245-8DEC-491F96F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6A"/>
  </w:style>
  <w:style w:type="paragraph" w:styleId="Footer">
    <w:name w:val="footer"/>
    <w:basedOn w:val="Normal"/>
    <w:link w:val="FooterChar"/>
    <w:uiPriority w:val="99"/>
    <w:unhideWhenUsed/>
    <w:rsid w:val="00F3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6A"/>
  </w:style>
  <w:style w:type="paragraph" w:styleId="Revision">
    <w:name w:val="Revision"/>
    <w:hidden/>
    <w:uiPriority w:val="99"/>
    <w:semiHidden/>
    <w:rsid w:val="00835C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18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y.psu.edu/policies/ac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y.psu.edu/policies/ac6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licy.psu.edu/policies/ac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414a492-8bab-495e-a415-91d13c40c1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0B69E16132E4FA1A5ED8753DBDD2F" ma:contentTypeVersion="7" ma:contentTypeDescription="Create a new document." ma:contentTypeScope="" ma:versionID="6240ddcdffb76196e7b89d583f1b9687">
  <xsd:schema xmlns:xsd="http://www.w3.org/2001/XMLSchema" xmlns:xs="http://www.w3.org/2001/XMLSchema" xmlns:p="http://schemas.microsoft.com/office/2006/metadata/properties" xmlns:ns2="2414a492-8bab-495e-a415-91d13c40c1a2" xmlns:ns3="91f9aff3-e85d-4424-99d0-744983d3df60" targetNamespace="http://schemas.microsoft.com/office/2006/metadata/properties" ma:root="true" ma:fieldsID="26043a866f84cc5cacb2254854aa79be" ns2:_="" ns3:_="">
    <xsd:import namespace="2414a492-8bab-495e-a415-91d13c40c1a2"/>
    <xsd:import namespace="91f9aff3-e85d-4424-99d0-744983d3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a492-8bab-495e-a415-91d13c40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aff3-e85d-4424-99d0-744983d3d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23FE1-2C91-447A-A88F-3ED7EE6D4A0E}">
  <ds:schemaRefs>
    <ds:schemaRef ds:uri="http://schemas.microsoft.com/office/2006/metadata/properties"/>
    <ds:schemaRef ds:uri="http://schemas.microsoft.com/office/infopath/2007/PartnerControls"/>
    <ds:schemaRef ds:uri="2414a492-8bab-495e-a415-91d13c40c1a2"/>
  </ds:schemaRefs>
</ds:datastoreItem>
</file>

<file path=customXml/itemProps2.xml><?xml version="1.0" encoding="utf-8"?>
<ds:datastoreItem xmlns:ds="http://schemas.openxmlformats.org/officeDocument/2006/customXml" ds:itemID="{DCCFE510-642E-4CBE-97A8-0444661EA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46D8F-59AB-4A06-B30E-6D12D313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a492-8bab-495e-a415-91d13c40c1a2"/>
    <ds:schemaRef ds:uri="91f9aff3-e85d-4424-99d0-744983d3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Olorunnisola, Anthony</dc:creator>
  <cp:keywords/>
  <dc:description/>
  <cp:lastModifiedBy>Bourjaily, Tasha C</cp:lastModifiedBy>
  <cp:revision>6</cp:revision>
  <dcterms:created xsi:type="dcterms:W3CDTF">2022-12-16T20:19:00Z</dcterms:created>
  <dcterms:modified xsi:type="dcterms:W3CDTF">2023-04-07T13:27:00Z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0x010100B620B69E16132E4FA1A5ED8753DBDD2F</vt:lpwstr>
  </property>
</Properties>
</file>